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34C" w:rsidRDefault="0026734C" w:rsidP="0026734C">
      <w:pPr>
        <w:pStyle w:val="Balk1"/>
        <w:spacing w:before="72"/>
        <w:ind w:left="190" w:right="294"/>
        <w:jc w:val="center"/>
      </w:pPr>
      <w:r>
        <w:t>T.C.</w:t>
      </w:r>
    </w:p>
    <w:p w:rsidR="0026734C" w:rsidRDefault="0026734C" w:rsidP="0026734C">
      <w:pPr>
        <w:spacing w:before="2" w:line="275" w:lineRule="exact"/>
        <w:ind w:left="190" w:right="357"/>
        <w:jc w:val="center"/>
        <w:rPr>
          <w:b/>
          <w:sz w:val="24"/>
        </w:rPr>
      </w:pPr>
      <w:r>
        <w:rPr>
          <w:b/>
          <w:sz w:val="24"/>
        </w:rPr>
        <w:t>LOKMAN HEKİM ÜNİVERSİTESİ</w:t>
      </w:r>
    </w:p>
    <w:p w:rsidR="0026734C" w:rsidRDefault="0026734C" w:rsidP="0026734C">
      <w:pPr>
        <w:spacing w:line="275" w:lineRule="exact"/>
        <w:ind w:left="190" w:right="362"/>
        <w:jc w:val="center"/>
        <w:rPr>
          <w:b/>
          <w:sz w:val="24"/>
        </w:rPr>
      </w:pPr>
      <w:r>
        <w:rPr>
          <w:b/>
          <w:sz w:val="24"/>
        </w:rPr>
        <w:t>BİLİMSEL ARAŞTIRMA PROJELERİ UYGULAMA YÖNERGESİ</w:t>
      </w:r>
    </w:p>
    <w:p w:rsidR="0026734C" w:rsidRDefault="0026734C" w:rsidP="0026734C">
      <w:pPr>
        <w:spacing w:before="2"/>
        <w:ind w:left="190" w:right="362"/>
        <w:jc w:val="center"/>
        <w:rPr>
          <w:b/>
        </w:rPr>
      </w:pPr>
      <w:r>
        <w:rPr>
          <w:b/>
        </w:rPr>
        <w:t xml:space="preserve">(Lokman Hekim Üniversitesi Senatosu’nun 11 Ocak 2019 tarihli toplantısında kabul edilmiş ve 31 Mayıs 2019 </w:t>
      </w:r>
      <w:r w:rsidR="00622C09">
        <w:rPr>
          <w:b/>
        </w:rPr>
        <w:t xml:space="preserve">ve 27 Temmuz 2020 </w:t>
      </w:r>
      <w:r>
        <w:rPr>
          <w:b/>
        </w:rPr>
        <w:t>tarihli toplantı</w:t>
      </w:r>
      <w:r w:rsidR="00622C09">
        <w:rPr>
          <w:b/>
        </w:rPr>
        <w:t xml:space="preserve">larında </w:t>
      </w:r>
      <w:r>
        <w:rPr>
          <w:b/>
        </w:rPr>
        <w:t>revize edilmiştir.)</w:t>
      </w:r>
    </w:p>
    <w:p w:rsidR="0026734C" w:rsidRDefault="0026734C" w:rsidP="0026734C">
      <w:pPr>
        <w:pStyle w:val="GvdeMetni"/>
        <w:spacing w:before="6"/>
        <w:rPr>
          <w:b/>
        </w:rPr>
      </w:pPr>
    </w:p>
    <w:p w:rsidR="0026734C" w:rsidRDefault="0026734C" w:rsidP="0026734C">
      <w:pPr>
        <w:pStyle w:val="Balk1"/>
        <w:ind w:left="189" w:right="362"/>
        <w:jc w:val="center"/>
      </w:pPr>
      <w:r>
        <w:t>BİRİNCİ BÖLÜM</w:t>
      </w:r>
    </w:p>
    <w:p w:rsidR="0026734C" w:rsidRDefault="0026734C" w:rsidP="0026734C">
      <w:pPr>
        <w:spacing w:before="2"/>
        <w:ind w:left="190" w:right="358"/>
        <w:jc w:val="center"/>
        <w:rPr>
          <w:b/>
          <w:sz w:val="24"/>
        </w:rPr>
      </w:pPr>
      <w:r>
        <w:rPr>
          <w:b/>
          <w:sz w:val="24"/>
        </w:rPr>
        <w:t>Amaç ve Kapsam, Dayanak ve Tanımlar</w:t>
      </w:r>
    </w:p>
    <w:p w:rsidR="0026734C" w:rsidRDefault="0026734C" w:rsidP="0026734C">
      <w:pPr>
        <w:pStyle w:val="GvdeMetni"/>
        <w:spacing w:before="5"/>
        <w:rPr>
          <w:b/>
        </w:rPr>
      </w:pPr>
    </w:p>
    <w:p w:rsidR="0026734C" w:rsidRDefault="0026734C" w:rsidP="00480B67">
      <w:pPr>
        <w:rPr>
          <w:b/>
          <w:sz w:val="24"/>
        </w:rPr>
      </w:pPr>
      <w:r>
        <w:rPr>
          <w:b/>
          <w:sz w:val="24"/>
        </w:rPr>
        <w:t>Amaç ve kapsam</w:t>
      </w:r>
    </w:p>
    <w:p w:rsidR="0026734C" w:rsidRDefault="0026734C" w:rsidP="0026734C">
      <w:pPr>
        <w:pStyle w:val="GvdeMetni"/>
        <w:rPr>
          <w:b/>
        </w:rPr>
      </w:pPr>
    </w:p>
    <w:p w:rsidR="0026734C" w:rsidRDefault="0026734C" w:rsidP="006E3583">
      <w:pPr>
        <w:pStyle w:val="GvdeMetni"/>
        <w:jc w:val="both"/>
      </w:pPr>
      <w:r>
        <w:rPr>
          <w:b/>
        </w:rPr>
        <w:t xml:space="preserve">MADDE 1 – </w:t>
      </w:r>
      <w:r>
        <w:t>(1) Bu yönerge, Lokman Hekim Üniversitesi öğretim üyeleri ile doktora veya Tıpta, Diş Hekimliğinde ve Eczacılıkta uzmanlık eğitimini tamamlamış araştırmacılar tarafından yönetilen ve Bilimsel Araştırmalar Koordinasyon Birimine sunulan bilimsel araştırma proje tekliflerinin değerlendirilmesi, kabulü, desteklenmesi, bunlara ilişkin hizmetlerin yürütülmesi, izlenmesi, sonuçlarının değerlendirilmesi, kamuoyuna duyurulması ve ilgili usul ve esaslar ile diğer hususları belirlemek ve düzenlemek amacıyla hazırlanmıştır.</w:t>
      </w:r>
    </w:p>
    <w:p w:rsidR="00480B67" w:rsidRDefault="00480B67" w:rsidP="006E3583">
      <w:pPr>
        <w:pStyle w:val="GvdeMetni"/>
        <w:jc w:val="both"/>
      </w:pPr>
    </w:p>
    <w:p w:rsidR="00480B67" w:rsidRDefault="00480B67" w:rsidP="00480B67">
      <w:pPr>
        <w:pStyle w:val="Balk1"/>
        <w:ind w:left="0"/>
      </w:pPr>
      <w:r>
        <w:t>Dayanak</w:t>
      </w:r>
    </w:p>
    <w:p w:rsidR="00480B67" w:rsidRDefault="00480B67" w:rsidP="00480B67">
      <w:pPr>
        <w:pStyle w:val="GvdeMetni"/>
        <w:rPr>
          <w:b/>
        </w:rPr>
      </w:pPr>
    </w:p>
    <w:p w:rsidR="00480B67" w:rsidRDefault="00480B67" w:rsidP="00480B67">
      <w:pPr>
        <w:pStyle w:val="GvdeMetni"/>
        <w:tabs>
          <w:tab w:val="left" w:pos="8505"/>
        </w:tabs>
        <w:jc w:val="both"/>
      </w:pPr>
      <w:r>
        <w:rPr>
          <w:b/>
        </w:rPr>
        <w:t xml:space="preserve">MADDE 2 – </w:t>
      </w:r>
      <w:r>
        <w:t xml:space="preserve">(1) Bu Yönerge, 04.11.1981 tarihli </w:t>
      </w:r>
      <w:r>
        <w:rPr>
          <w:spacing w:val="-3"/>
        </w:rPr>
        <w:t xml:space="preserve">ve </w:t>
      </w:r>
      <w:r>
        <w:t xml:space="preserve">2547 sayılı Yükseköğretim Kanununun 4. maddesinin birinci fıkrasının (c) bendi, 58. maddesinin (b) fıkrası ile Ek 28. maddesi uyarınca 26.11.2016 tarih ve 29900 sayılı Resmî </w:t>
      </w:r>
      <w:proofErr w:type="spellStart"/>
      <w:r>
        <w:t>Gazete</w:t>
      </w:r>
      <w:r w:rsidR="00074521">
        <w:t>’</w:t>
      </w:r>
      <w:r>
        <w:t>de</w:t>
      </w:r>
      <w:proofErr w:type="spellEnd"/>
      <w:r>
        <w:t xml:space="preserve"> yayımlanan “Yükseköğretim Kurumları Bilimsel Araştırma Projeleri Hakkındaki Yönetmelik” hükümlerine dayanılarak hazırlanmıştır.</w:t>
      </w:r>
    </w:p>
    <w:p w:rsidR="00872A53" w:rsidRDefault="00872A53" w:rsidP="00872A53">
      <w:pPr>
        <w:pStyle w:val="Balk1"/>
        <w:spacing w:before="1"/>
        <w:ind w:left="0"/>
        <w:rPr>
          <w:b w:val="0"/>
          <w:bCs w:val="0"/>
        </w:rPr>
      </w:pPr>
    </w:p>
    <w:p w:rsidR="00872A53" w:rsidRDefault="00872A53" w:rsidP="00872A53">
      <w:pPr>
        <w:pStyle w:val="Balk1"/>
        <w:spacing w:before="1"/>
        <w:ind w:left="0"/>
      </w:pPr>
      <w:r>
        <w:t>Tanımlar ve kısaltmalar</w:t>
      </w:r>
    </w:p>
    <w:p w:rsidR="00872A53" w:rsidRDefault="00872A53" w:rsidP="00872A53">
      <w:pPr>
        <w:ind w:left="113"/>
        <w:rPr>
          <w:b/>
          <w:sz w:val="23"/>
          <w:szCs w:val="24"/>
        </w:rPr>
      </w:pPr>
    </w:p>
    <w:p w:rsidR="00872A53" w:rsidRDefault="00872A53" w:rsidP="00872A53">
      <w:pPr>
        <w:rPr>
          <w:sz w:val="24"/>
        </w:rPr>
      </w:pPr>
      <w:r>
        <w:rPr>
          <w:b/>
          <w:sz w:val="24"/>
        </w:rPr>
        <w:t xml:space="preserve">MADDE 3 </w:t>
      </w:r>
      <w:r>
        <w:rPr>
          <w:sz w:val="24"/>
        </w:rPr>
        <w:t>– (1) Bu yönergede geçen;</w:t>
      </w:r>
    </w:p>
    <w:p w:rsidR="00872A53" w:rsidRDefault="00872A53" w:rsidP="00872A53">
      <w:pPr>
        <w:pStyle w:val="GvdeMetni"/>
      </w:pPr>
    </w:p>
    <w:p w:rsidR="00872A53" w:rsidRDefault="00872A53" w:rsidP="00872A53">
      <w:pPr>
        <w:pStyle w:val="ListeParagraf"/>
        <w:numPr>
          <w:ilvl w:val="0"/>
          <w:numId w:val="1"/>
        </w:numPr>
        <w:tabs>
          <w:tab w:val="left" w:pos="498"/>
        </w:tabs>
        <w:spacing w:line="242" w:lineRule="auto"/>
        <w:ind w:left="0" w:right="-28" w:firstLine="0"/>
        <w:rPr>
          <w:sz w:val="24"/>
        </w:rPr>
      </w:pPr>
      <w:r>
        <w:rPr>
          <w:b/>
          <w:sz w:val="24"/>
        </w:rPr>
        <w:t xml:space="preserve">Araştırmacı: </w:t>
      </w:r>
      <w:r>
        <w:rPr>
          <w:sz w:val="24"/>
        </w:rPr>
        <w:t>Bilimsel araştırma projesinin yürütülebilmesi için proje yürütücüsü tarafından proje ekibinde yer verilen; öğretim elemanları, proje konusu ile ilgili lisans ve lisansüstü öğrenim görmekte olan öğrencileri ve eğitimlerini tamamlamış uzmanlığı nedeniyle projede görev verilen</w:t>
      </w:r>
      <w:r>
        <w:rPr>
          <w:spacing w:val="4"/>
          <w:sz w:val="24"/>
        </w:rPr>
        <w:t xml:space="preserve"> </w:t>
      </w:r>
      <w:r>
        <w:rPr>
          <w:sz w:val="24"/>
        </w:rPr>
        <w:t>kişileri,</w:t>
      </w:r>
    </w:p>
    <w:p w:rsidR="00872A53" w:rsidRDefault="00872A53" w:rsidP="00872A53">
      <w:pPr>
        <w:pStyle w:val="GvdeMetni"/>
        <w:spacing w:before="3"/>
        <w:rPr>
          <w:sz w:val="23"/>
        </w:rPr>
      </w:pPr>
    </w:p>
    <w:p w:rsidR="00872A53" w:rsidRDefault="00872A53" w:rsidP="00872A53">
      <w:pPr>
        <w:pStyle w:val="ListeParagraf"/>
        <w:numPr>
          <w:ilvl w:val="0"/>
          <w:numId w:val="1"/>
        </w:numPr>
        <w:tabs>
          <w:tab w:val="left" w:pos="483"/>
        </w:tabs>
        <w:spacing w:line="242" w:lineRule="auto"/>
        <w:ind w:left="0" w:right="-28" w:firstLine="0"/>
        <w:rPr>
          <w:sz w:val="24"/>
        </w:rPr>
      </w:pPr>
      <w:r>
        <w:rPr>
          <w:b/>
          <w:sz w:val="24"/>
        </w:rPr>
        <w:t xml:space="preserve">Araştırma ve Yayın Etiği: </w:t>
      </w:r>
      <w:r>
        <w:rPr>
          <w:sz w:val="24"/>
        </w:rPr>
        <w:t>Desteklenen projelerden üretilen tüm yayınlarda BAP Koordinasyon Birimi desteği proje numarasının açıkça belirtilmesi dahil proje ekibinin uymakla yükümlü olduğu Lokman Hekim Üniversitesi araştırma ve yayın etiği</w:t>
      </w:r>
      <w:r>
        <w:rPr>
          <w:spacing w:val="-7"/>
          <w:sz w:val="24"/>
        </w:rPr>
        <w:t xml:space="preserve"> </w:t>
      </w:r>
      <w:r>
        <w:rPr>
          <w:sz w:val="24"/>
        </w:rPr>
        <w:t>ilkelerini,</w:t>
      </w:r>
    </w:p>
    <w:p w:rsidR="00872A53" w:rsidRDefault="00872A53" w:rsidP="00872A53">
      <w:pPr>
        <w:pStyle w:val="GvdeMetni"/>
        <w:spacing w:before="8"/>
        <w:rPr>
          <w:sz w:val="23"/>
        </w:rPr>
      </w:pPr>
    </w:p>
    <w:p w:rsidR="00872A53" w:rsidRDefault="00872A53" w:rsidP="00872A53">
      <w:pPr>
        <w:pStyle w:val="ListeParagraf"/>
        <w:numPr>
          <w:ilvl w:val="0"/>
          <w:numId w:val="1"/>
        </w:numPr>
        <w:tabs>
          <w:tab w:val="left" w:pos="383"/>
          <w:tab w:val="left" w:pos="8931"/>
        </w:tabs>
        <w:ind w:left="0" w:right="-28" w:firstLine="0"/>
        <w:rPr>
          <w:sz w:val="24"/>
        </w:rPr>
      </w:pPr>
      <w:r>
        <w:rPr>
          <w:b/>
          <w:sz w:val="24"/>
        </w:rPr>
        <w:t xml:space="preserve">Bilimsel Araştırma Projesi (BAP): </w:t>
      </w:r>
      <w:r>
        <w:rPr>
          <w:sz w:val="24"/>
        </w:rPr>
        <w:t>Tamamlandığında sonuçları ile alanında bilime katkı yapması, ülkenin teknolojik, ekonomik, sosyal ve kültürel kalkınmasına katkı sağlaması beklenen bilimsel içerikli, Lokman Hekim Üniversitesi içi ve/veya dışı, ulusal ve/veya uluslararası kurum ya da kuruluşların katılımlarıyla da yapılabilecek projeler ile bilim insanı yetiştirme ve araştırma altyapısı kurma ve geliştirme</w:t>
      </w:r>
      <w:r>
        <w:rPr>
          <w:spacing w:val="-4"/>
          <w:sz w:val="24"/>
        </w:rPr>
        <w:t xml:space="preserve"> </w:t>
      </w:r>
      <w:r>
        <w:rPr>
          <w:sz w:val="24"/>
        </w:rPr>
        <w:t>projelerini,</w:t>
      </w:r>
    </w:p>
    <w:p w:rsidR="00872A53" w:rsidRDefault="00872A53" w:rsidP="00872A53">
      <w:pPr>
        <w:pStyle w:val="GvdeMetni"/>
        <w:spacing w:before="5"/>
      </w:pPr>
    </w:p>
    <w:p w:rsidR="00872A53" w:rsidRDefault="00872A53" w:rsidP="00E54807">
      <w:pPr>
        <w:pStyle w:val="GvdeMetni"/>
        <w:ind w:right="-28"/>
        <w:jc w:val="both"/>
        <w:rPr>
          <w:highlight w:val="green"/>
        </w:rPr>
      </w:pPr>
      <w:r>
        <w:rPr>
          <w:b/>
        </w:rPr>
        <w:t xml:space="preserve">ç) BAP Koordinasyon Birimi: </w:t>
      </w:r>
      <w:r>
        <w:t>Bilimsel Araştırma Projeleri Komisyonunun sekretarya hizmetlerinin yürütülmesi, bütçe ödeneklerine ilişkin iş ve işlemlerin yürütülmesi ve Lokman Hekim Üniversitesi araştırmacılarının görev aldığı ulusal ve uluslararası organizasyonlarca desteklenen projelerin ilgili mevzuatla belirlenen süreçlerinin yürütülmesi, izlenmes</w:t>
      </w:r>
      <w:r w:rsidR="00E54807">
        <w:t xml:space="preserve">i </w:t>
      </w:r>
      <w:r w:rsidRPr="00E54807">
        <w:t>ve üst yöneticinin bilimsel araştırma projeleri ile ilgili olarak vereceği diğer görevleri ilgili birimlerle koordine halinde yürütmekle sorumlu birimi,</w:t>
      </w:r>
    </w:p>
    <w:p w:rsidR="00E54807" w:rsidRDefault="00E54807" w:rsidP="00E54807">
      <w:pPr>
        <w:pStyle w:val="GvdeMetni"/>
        <w:ind w:right="-28"/>
        <w:jc w:val="both"/>
      </w:pPr>
    </w:p>
    <w:p w:rsidR="00872A53" w:rsidRDefault="00872A53" w:rsidP="00872A53">
      <w:pPr>
        <w:pStyle w:val="GvdeMetni"/>
        <w:spacing w:before="8"/>
        <w:rPr>
          <w:sz w:val="23"/>
        </w:rPr>
      </w:pPr>
    </w:p>
    <w:p w:rsidR="00872A53" w:rsidRDefault="00872A53" w:rsidP="00872A53">
      <w:pPr>
        <w:pStyle w:val="ListeParagraf"/>
        <w:numPr>
          <w:ilvl w:val="0"/>
          <w:numId w:val="1"/>
        </w:numPr>
        <w:tabs>
          <w:tab w:val="left" w:pos="431"/>
          <w:tab w:val="left" w:pos="8505"/>
        </w:tabs>
        <w:ind w:left="0" w:right="0" w:firstLine="0"/>
        <w:rPr>
          <w:sz w:val="24"/>
        </w:rPr>
      </w:pPr>
      <w:r>
        <w:rPr>
          <w:b/>
          <w:sz w:val="24"/>
        </w:rPr>
        <w:t xml:space="preserve">BAP Koordinasyon Birimi Koordinatörü: </w:t>
      </w:r>
      <w:r>
        <w:rPr>
          <w:sz w:val="24"/>
        </w:rPr>
        <w:t xml:space="preserve">Bilimsel Araştırma Projeleri Koordinasyon Biriminin faaliyetlerinin Lokman Hekim Üniversitesi adına yürütülmesinden sorumlu, </w:t>
      </w:r>
      <w:r w:rsidRPr="009B27E1">
        <w:rPr>
          <w:sz w:val="24"/>
        </w:rPr>
        <w:t>üst yönetici</w:t>
      </w:r>
      <w:r>
        <w:rPr>
          <w:sz w:val="24"/>
        </w:rPr>
        <w:t xml:space="preserve"> tarafından, bilimsel araştırma projelerine ait faaliyetleri bu Yönergede belirtilen usule uygun şekilde yapabilecek bilgi ve niteliklere sahip personel arasından görevlendirilen ve üst </w:t>
      </w:r>
      <w:r w:rsidRPr="009B27E1">
        <w:rPr>
          <w:sz w:val="24"/>
        </w:rPr>
        <w:t>yöneticiye</w:t>
      </w:r>
      <w:r w:rsidR="009B27E1">
        <w:rPr>
          <w:sz w:val="24"/>
        </w:rPr>
        <w:t xml:space="preserve"> </w:t>
      </w:r>
      <w:r>
        <w:rPr>
          <w:sz w:val="24"/>
        </w:rPr>
        <w:t>karşı sorumlu</w:t>
      </w:r>
      <w:r>
        <w:rPr>
          <w:spacing w:val="3"/>
          <w:sz w:val="24"/>
        </w:rPr>
        <w:t xml:space="preserve"> </w:t>
      </w:r>
      <w:r>
        <w:rPr>
          <w:sz w:val="24"/>
        </w:rPr>
        <w:t>kişiyi,</w:t>
      </w:r>
    </w:p>
    <w:p w:rsidR="00872A53" w:rsidRDefault="00872A53" w:rsidP="00872A53">
      <w:pPr>
        <w:pStyle w:val="GvdeMetni"/>
        <w:spacing w:before="5"/>
      </w:pPr>
    </w:p>
    <w:p w:rsidR="00872A53" w:rsidRDefault="00872A53" w:rsidP="00872A53">
      <w:pPr>
        <w:pStyle w:val="ListeParagraf"/>
        <w:numPr>
          <w:ilvl w:val="0"/>
          <w:numId w:val="1"/>
        </w:numPr>
        <w:tabs>
          <w:tab w:val="left" w:pos="455"/>
          <w:tab w:val="left" w:pos="8364"/>
        </w:tabs>
        <w:spacing w:line="242" w:lineRule="auto"/>
        <w:ind w:left="0" w:right="0" w:firstLine="0"/>
        <w:rPr>
          <w:sz w:val="24"/>
        </w:rPr>
      </w:pPr>
      <w:r>
        <w:rPr>
          <w:b/>
          <w:sz w:val="24"/>
        </w:rPr>
        <w:t xml:space="preserve">Komisyon: </w:t>
      </w:r>
      <w:r w:rsidRPr="009E3399">
        <w:rPr>
          <w:sz w:val="24"/>
          <w:szCs w:val="24"/>
        </w:rPr>
        <w:t xml:space="preserve">Bilimsel araştırma projelerinin kabulü, değerlendirilmesi, desteklenmesi, teşvik ve koordine edilmesi, yükseköğretim kurumu araştırma performansının artırılması için tedbirler alınması ile araştırma performansının ölçülmesi, değerlendirilmesi ve araştırma politikalarının belirlenmesiyle ilgili faaliyetlerin yürütülmesi </w:t>
      </w:r>
      <w:r w:rsidRPr="009E3399">
        <w:rPr>
          <w:color w:val="000000"/>
          <w:sz w:val="24"/>
          <w:szCs w:val="24"/>
          <w:shd w:val="clear" w:color="auto" w:fill="FFFFFF"/>
        </w:rPr>
        <w:t>ve üst yöneticinin bilimsel araştırmalarla ilgili olarak vereceği diğer görevleri yürütmek amacıyla oluşturulan komisyonu,</w:t>
      </w:r>
      <w:r>
        <w:rPr>
          <w:color w:val="000000"/>
          <w:shd w:val="clear" w:color="auto" w:fill="FFFFFF"/>
        </w:rPr>
        <w:t xml:space="preserve"> </w:t>
      </w:r>
    </w:p>
    <w:p w:rsidR="00872A53" w:rsidRDefault="00872A53" w:rsidP="00872A53">
      <w:pPr>
        <w:pStyle w:val="GvdeMetni"/>
        <w:spacing w:before="8"/>
        <w:rPr>
          <w:sz w:val="23"/>
        </w:rPr>
      </w:pPr>
    </w:p>
    <w:p w:rsidR="00872A53" w:rsidRDefault="00872A53" w:rsidP="00872A53">
      <w:pPr>
        <w:pStyle w:val="ListeParagraf"/>
        <w:numPr>
          <w:ilvl w:val="0"/>
          <w:numId w:val="1"/>
        </w:numPr>
        <w:tabs>
          <w:tab w:val="left" w:pos="354"/>
        </w:tabs>
        <w:spacing w:line="242" w:lineRule="auto"/>
        <w:ind w:left="0" w:right="0" w:firstLine="0"/>
        <w:rPr>
          <w:sz w:val="24"/>
        </w:rPr>
      </w:pPr>
      <w:r>
        <w:rPr>
          <w:b/>
          <w:sz w:val="24"/>
        </w:rPr>
        <w:t xml:space="preserve">Proje Değerlendirme Grubu (PDG): </w:t>
      </w:r>
      <w:r>
        <w:rPr>
          <w:sz w:val="24"/>
        </w:rPr>
        <w:t>Projelerin değerlendirme, izleme ve sonuçlandırma aşamalarında Komisyona görüş oluşturmak üzere oluşturulan uzmanlar grubunu,</w:t>
      </w:r>
    </w:p>
    <w:p w:rsidR="00872A53" w:rsidRDefault="00872A53" w:rsidP="00872A53">
      <w:pPr>
        <w:pStyle w:val="GvdeMetni"/>
        <w:spacing w:before="2"/>
      </w:pPr>
    </w:p>
    <w:p w:rsidR="00872A53" w:rsidRDefault="00872A53" w:rsidP="00872A53">
      <w:pPr>
        <w:pStyle w:val="ListeParagraf"/>
        <w:numPr>
          <w:ilvl w:val="0"/>
          <w:numId w:val="1"/>
        </w:numPr>
        <w:tabs>
          <w:tab w:val="left" w:pos="378"/>
        </w:tabs>
        <w:ind w:left="0" w:right="0" w:firstLine="0"/>
        <w:rPr>
          <w:sz w:val="24"/>
        </w:rPr>
      </w:pPr>
      <w:r>
        <w:rPr>
          <w:b/>
          <w:sz w:val="24"/>
        </w:rPr>
        <w:t xml:space="preserve">Proje Ekibi: </w:t>
      </w:r>
      <w:r>
        <w:rPr>
          <w:sz w:val="24"/>
        </w:rPr>
        <w:t>Proje yürütücüsü ile</w:t>
      </w:r>
      <w:r>
        <w:rPr>
          <w:spacing w:val="-8"/>
          <w:sz w:val="24"/>
        </w:rPr>
        <w:t xml:space="preserve"> </w:t>
      </w:r>
      <w:r>
        <w:rPr>
          <w:sz w:val="24"/>
        </w:rPr>
        <w:t>araştırmacıları,</w:t>
      </w:r>
    </w:p>
    <w:p w:rsidR="00872A53" w:rsidRDefault="00872A53" w:rsidP="00872A53">
      <w:pPr>
        <w:pStyle w:val="GvdeMetni"/>
      </w:pPr>
    </w:p>
    <w:p w:rsidR="00872A53" w:rsidRDefault="00872A53" w:rsidP="00872A53">
      <w:pPr>
        <w:pStyle w:val="GvdeMetni"/>
        <w:spacing w:line="242" w:lineRule="auto"/>
        <w:ind w:right="278"/>
        <w:jc w:val="both"/>
      </w:pPr>
      <w:proofErr w:type="gramStart"/>
      <w:r>
        <w:rPr>
          <w:b/>
        </w:rPr>
        <w:t xml:space="preserve">ğ) </w:t>
      </w:r>
      <w:r w:rsidR="00074521">
        <w:rPr>
          <w:b/>
        </w:rPr>
        <w:t xml:space="preserve">  </w:t>
      </w:r>
      <w:proofErr w:type="gramEnd"/>
      <w:r>
        <w:rPr>
          <w:b/>
        </w:rPr>
        <w:t xml:space="preserve">Proje Yürütücüsü: </w:t>
      </w:r>
      <w:r>
        <w:t>Projeyi teklif eden, hazırlanmasından ve yürütülmesinden sorumlu olan öğretim üyeleri ile doktora, tıpta/eczacılıkta uzmanlık eğitimini tamamlamış Lokman Hekim Üniversitesi mensubu</w:t>
      </w:r>
      <w:r>
        <w:rPr>
          <w:spacing w:val="5"/>
        </w:rPr>
        <w:t xml:space="preserve"> </w:t>
      </w:r>
      <w:r>
        <w:t>araştırmacıları,</w:t>
      </w:r>
    </w:p>
    <w:p w:rsidR="00872A53" w:rsidRDefault="00872A53" w:rsidP="00872A53">
      <w:pPr>
        <w:pStyle w:val="GvdeMetni"/>
        <w:spacing w:before="1"/>
      </w:pPr>
    </w:p>
    <w:p w:rsidR="00872A53" w:rsidRDefault="00872A53" w:rsidP="00872A53">
      <w:pPr>
        <w:pStyle w:val="ListeParagraf"/>
        <w:numPr>
          <w:ilvl w:val="0"/>
          <w:numId w:val="1"/>
        </w:numPr>
        <w:tabs>
          <w:tab w:val="left" w:pos="392"/>
        </w:tabs>
        <w:ind w:left="0" w:right="0" w:firstLine="0"/>
        <w:rPr>
          <w:sz w:val="24"/>
        </w:rPr>
      </w:pPr>
      <w:r>
        <w:rPr>
          <w:b/>
          <w:sz w:val="24"/>
        </w:rPr>
        <w:t xml:space="preserve">YÖKSİS: </w:t>
      </w:r>
      <w:r>
        <w:rPr>
          <w:sz w:val="24"/>
        </w:rPr>
        <w:t>Yükseköğretim Kurulu Başkanlığı ortak veri</w:t>
      </w:r>
      <w:r>
        <w:rPr>
          <w:spacing w:val="5"/>
          <w:sz w:val="24"/>
        </w:rPr>
        <w:t xml:space="preserve"> </w:t>
      </w:r>
      <w:r>
        <w:rPr>
          <w:sz w:val="24"/>
        </w:rPr>
        <w:t>tabanını,</w:t>
      </w:r>
    </w:p>
    <w:p w:rsidR="00872A53" w:rsidRDefault="00872A53" w:rsidP="00872A53">
      <w:pPr>
        <w:pStyle w:val="ListeParagraf"/>
        <w:tabs>
          <w:tab w:val="left" w:pos="392"/>
        </w:tabs>
        <w:ind w:left="0" w:right="0"/>
        <w:rPr>
          <w:sz w:val="24"/>
        </w:rPr>
      </w:pPr>
    </w:p>
    <w:p w:rsidR="00872A53" w:rsidRPr="009B27E1" w:rsidRDefault="00872A53" w:rsidP="00872A53">
      <w:pPr>
        <w:pStyle w:val="ListeParagraf"/>
        <w:numPr>
          <w:ilvl w:val="0"/>
          <w:numId w:val="1"/>
        </w:numPr>
        <w:tabs>
          <w:tab w:val="left" w:pos="392"/>
        </w:tabs>
        <w:ind w:left="0" w:right="0" w:firstLine="0"/>
        <w:rPr>
          <w:sz w:val="24"/>
        </w:rPr>
      </w:pPr>
      <w:r w:rsidRPr="009B27E1">
        <w:rPr>
          <w:b/>
          <w:sz w:val="24"/>
        </w:rPr>
        <w:t>Üst Yönetici:</w:t>
      </w:r>
      <w:r w:rsidRPr="009B27E1">
        <w:rPr>
          <w:sz w:val="24"/>
        </w:rPr>
        <w:t xml:space="preserve"> Lokman Hekim Üniversitesi </w:t>
      </w:r>
      <w:r w:rsidR="009E3399">
        <w:rPr>
          <w:sz w:val="24"/>
        </w:rPr>
        <w:t>R</w:t>
      </w:r>
      <w:r w:rsidRPr="009B27E1">
        <w:rPr>
          <w:sz w:val="24"/>
        </w:rPr>
        <w:t xml:space="preserve">ektörünü, </w:t>
      </w:r>
    </w:p>
    <w:p w:rsidR="00872A53" w:rsidRPr="009B27E1" w:rsidRDefault="00872A53" w:rsidP="00872A53">
      <w:pPr>
        <w:pStyle w:val="ListeParagraf"/>
        <w:ind w:left="0"/>
        <w:rPr>
          <w:sz w:val="24"/>
        </w:rPr>
      </w:pPr>
    </w:p>
    <w:p w:rsidR="00872A53" w:rsidRDefault="00872A53" w:rsidP="00872A53">
      <w:pPr>
        <w:tabs>
          <w:tab w:val="left" w:pos="392"/>
        </w:tabs>
        <w:rPr>
          <w:sz w:val="24"/>
        </w:rPr>
      </w:pPr>
      <w:proofErr w:type="gramStart"/>
      <w:r w:rsidRPr="009B27E1">
        <w:rPr>
          <w:sz w:val="24"/>
        </w:rPr>
        <w:t>ifade</w:t>
      </w:r>
      <w:proofErr w:type="gramEnd"/>
      <w:r w:rsidRPr="009B27E1">
        <w:rPr>
          <w:sz w:val="24"/>
        </w:rPr>
        <w:t xml:space="preserve"> eder.</w:t>
      </w:r>
      <w:r>
        <w:rPr>
          <w:sz w:val="24"/>
        </w:rPr>
        <w:t xml:space="preserve"> </w:t>
      </w:r>
    </w:p>
    <w:p w:rsidR="00872A53" w:rsidRDefault="00872A53" w:rsidP="00872A53">
      <w:pPr>
        <w:tabs>
          <w:tab w:val="left" w:pos="392"/>
        </w:tabs>
        <w:rPr>
          <w:sz w:val="24"/>
        </w:rPr>
      </w:pPr>
    </w:p>
    <w:p w:rsidR="00872A53" w:rsidRDefault="00872A53" w:rsidP="00872A53">
      <w:pPr>
        <w:pStyle w:val="Balk1"/>
        <w:spacing w:before="230"/>
        <w:ind w:left="189" w:right="362"/>
        <w:jc w:val="center"/>
      </w:pPr>
      <w:r>
        <w:t>İKİNCİ BÖLÜM</w:t>
      </w:r>
    </w:p>
    <w:p w:rsidR="00872A53" w:rsidRDefault="00872A53" w:rsidP="00872A53">
      <w:pPr>
        <w:spacing w:before="3"/>
        <w:ind w:left="189" w:right="362"/>
        <w:jc w:val="center"/>
        <w:rPr>
          <w:b/>
          <w:sz w:val="24"/>
        </w:rPr>
      </w:pPr>
      <w:r>
        <w:rPr>
          <w:b/>
          <w:sz w:val="24"/>
        </w:rPr>
        <w:t>Bilimsel Araştırma Projelerine İlişkin Genel Esaslar</w:t>
      </w:r>
    </w:p>
    <w:p w:rsidR="00872A53" w:rsidRDefault="00872A53" w:rsidP="00872A53">
      <w:pPr>
        <w:pStyle w:val="GvdeMetni"/>
        <w:spacing w:before="4"/>
        <w:rPr>
          <w:b/>
        </w:rPr>
      </w:pPr>
    </w:p>
    <w:p w:rsidR="00872A53" w:rsidRDefault="00872A53" w:rsidP="00C70485">
      <w:pPr>
        <w:spacing w:before="1"/>
        <w:rPr>
          <w:b/>
          <w:sz w:val="24"/>
        </w:rPr>
      </w:pPr>
      <w:r>
        <w:rPr>
          <w:b/>
          <w:sz w:val="24"/>
        </w:rPr>
        <w:t>Komisyon</w:t>
      </w:r>
    </w:p>
    <w:p w:rsidR="00872A53" w:rsidRDefault="00872A53" w:rsidP="00C70485">
      <w:pPr>
        <w:pStyle w:val="GvdeMetni"/>
        <w:rPr>
          <w:b/>
        </w:rPr>
      </w:pPr>
    </w:p>
    <w:p w:rsidR="00872A53" w:rsidRDefault="00872A53" w:rsidP="00891DB9">
      <w:pPr>
        <w:pStyle w:val="GvdeMetni"/>
        <w:spacing w:line="242" w:lineRule="auto"/>
        <w:jc w:val="both"/>
      </w:pPr>
      <w:r>
        <w:rPr>
          <w:b/>
        </w:rPr>
        <w:t xml:space="preserve">MADDE 4 – </w:t>
      </w:r>
      <w:r>
        <w:t>(</w:t>
      </w:r>
      <w:r w:rsidRPr="009B27E1">
        <w:t>1) Bu Yönergede belirtilen görevlerin yürütülmesi için</w:t>
      </w:r>
      <w:r w:rsidR="009B27E1" w:rsidRPr="009B27E1">
        <w:t xml:space="preserve"> </w:t>
      </w:r>
      <w:r w:rsidRPr="009B27E1">
        <w:t>senatonun önerisiyle</w:t>
      </w:r>
      <w:r w:rsidR="009B27E1" w:rsidRPr="009B27E1">
        <w:t xml:space="preserve"> </w:t>
      </w:r>
      <w:r w:rsidRPr="009B27E1">
        <w:t>üst yönetici tarafından görevlendirilen, en az yedi en çok on bir öğretim üyesinden oluşan bir komisyon kurulur. Komisyona üst yönetici tarafından öğretim üyeleri arasından görevlendirilen ve üst yöneticiye karşı sorumlu olan Komisyon Başkanı başkanlık eder.</w:t>
      </w:r>
      <w:r>
        <w:t xml:space="preserve"> Komisyon üyeleri, Lokman Hekim Üniversitesi’nde var olan bilim dalları arasında denge gözetilmek suretiyle dört yıl için görevlendirilir. Süresi biten üye aynı usulle yeniden görevlendirilebilir.</w:t>
      </w:r>
    </w:p>
    <w:p w:rsidR="00891DB9" w:rsidRPr="00891DB9" w:rsidRDefault="00891DB9" w:rsidP="00891DB9">
      <w:pPr>
        <w:pStyle w:val="GvdeMetni"/>
        <w:spacing w:line="242" w:lineRule="auto"/>
        <w:jc w:val="both"/>
      </w:pPr>
    </w:p>
    <w:p w:rsidR="00872A53" w:rsidRDefault="00872A53" w:rsidP="004836DE">
      <w:pPr>
        <w:pStyle w:val="GvdeMetni"/>
        <w:spacing w:line="242" w:lineRule="auto"/>
        <w:jc w:val="both"/>
      </w:pPr>
      <w:r>
        <w:t xml:space="preserve">(2) Komisyon üyeleri; görev, yetki ve sorumluluklarını yerine getirmediklerinin tespit edilmesi halinde, senatonun önerisi </w:t>
      </w:r>
      <w:r w:rsidRPr="009B27E1">
        <w:t>üzerine</w:t>
      </w:r>
      <w:r w:rsidR="009B27E1" w:rsidRPr="009B27E1">
        <w:t xml:space="preserve"> </w:t>
      </w:r>
      <w:r w:rsidRPr="009B27E1">
        <w:t>üst yönetici</w:t>
      </w:r>
      <w:r>
        <w:t xml:space="preserve"> tarafından görev süreleri dolmadan görevden</w:t>
      </w:r>
      <w:r>
        <w:rPr>
          <w:spacing w:val="1"/>
        </w:rPr>
        <w:t xml:space="preserve"> </w:t>
      </w:r>
      <w:r>
        <w:t>alınabilir.</w:t>
      </w:r>
    </w:p>
    <w:p w:rsidR="00C70485" w:rsidRDefault="00C70485" w:rsidP="00872A53">
      <w:pPr>
        <w:pStyle w:val="GvdeMetni"/>
        <w:spacing w:line="242" w:lineRule="auto"/>
        <w:ind w:left="113" w:right="283"/>
        <w:jc w:val="both"/>
      </w:pPr>
    </w:p>
    <w:p w:rsidR="00C70485" w:rsidRPr="0008756E" w:rsidRDefault="00C70485" w:rsidP="00C70485">
      <w:pPr>
        <w:pStyle w:val="GvdeMetni"/>
        <w:tabs>
          <w:tab w:val="left" w:pos="8505"/>
        </w:tabs>
        <w:spacing w:line="242" w:lineRule="auto"/>
        <w:jc w:val="both"/>
        <w:rPr>
          <w:b/>
        </w:rPr>
      </w:pPr>
      <w:r w:rsidRPr="0008756E">
        <w:rPr>
          <w:b/>
        </w:rPr>
        <w:t>Destek Değerlendirme</w:t>
      </w:r>
    </w:p>
    <w:p w:rsidR="00C70485" w:rsidRDefault="00C70485" w:rsidP="00C70485">
      <w:pPr>
        <w:pStyle w:val="GvdeMetni"/>
        <w:tabs>
          <w:tab w:val="left" w:pos="8505"/>
        </w:tabs>
        <w:spacing w:before="7"/>
        <w:rPr>
          <w:b/>
          <w:sz w:val="23"/>
        </w:rPr>
      </w:pPr>
    </w:p>
    <w:p w:rsidR="00A261CA" w:rsidRDefault="00C70485" w:rsidP="00A261CA">
      <w:pPr>
        <w:pStyle w:val="GvdeMetni"/>
        <w:tabs>
          <w:tab w:val="left" w:pos="8505"/>
        </w:tabs>
        <w:spacing w:before="72" w:line="242" w:lineRule="auto"/>
        <w:jc w:val="both"/>
      </w:pPr>
      <w:r>
        <w:rPr>
          <w:b/>
        </w:rPr>
        <w:t xml:space="preserve">MADDE 5 </w:t>
      </w:r>
      <w:r>
        <w:t>– (1) Proje başvuruları, türüne göre Komisyon tarafından yapılan ön değerlendirme sonrasında, projelere iç ve/veya dış hakemler tanımlanarak görüşleri alınır. Noksanlık durumunda projenin yeniden gözden geçirilmesi istenebilir. Belgeleri tamamlanmış, varsa noksanlıkları giderilmiş ve atanmışsa hakemlerden ve alan kurullarından geçmiş başvurular gündeme alınır. Proje başvurularının tümü, değerlendirmeler</w:t>
      </w:r>
      <w:r>
        <w:rPr>
          <w:spacing w:val="35"/>
        </w:rPr>
        <w:t xml:space="preserve"> </w:t>
      </w:r>
      <w:r>
        <w:t>dikkate</w:t>
      </w:r>
      <w:r w:rsidR="00A261CA">
        <w:t xml:space="preserve"> alınarak karara bağlanır. Komisyon, başvurunun olduğu gibi desteklenmesine, bütçe, içerik ve şekil bakımından yeniden gözden geçirilmesi için yürütücüye iadesine ya da başvurunun reddedilmesine karar verebilir.</w:t>
      </w:r>
    </w:p>
    <w:p w:rsidR="00C70485" w:rsidRDefault="00C70485" w:rsidP="00C70485">
      <w:pPr>
        <w:pStyle w:val="GvdeMetni"/>
        <w:tabs>
          <w:tab w:val="left" w:pos="8505"/>
        </w:tabs>
        <w:spacing w:line="242" w:lineRule="auto"/>
        <w:jc w:val="both"/>
      </w:pPr>
    </w:p>
    <w:p w:rsidR="00745F34" w:rsidRDefault="00745F34" w:rsidP="00745F34">
      <w:pPr>
        <w:pStyle w:val="Balk1"/>
        <w:ind w:left="0"/>
      </w:pPr>
      <w:r>
        <w:t>Destek Sayısı</w:t>
      </w:r>
      <w:r>
        <w:rPr>
          <w:spacing w:val="-9"/>
        </w:rPr>
        <w:t xml:space="preserve"> </w:t>
      </w:r>
      <w:r>
        <w:t>Sınırlamaları</w:t>
      </w:r>
    </w:p>
    <w:p w:rsidR="00745F34" w:rsidRDefault="00745F34" w:rsidP="00745F34">
      <w:pPr>
        <w:pStyle w:val="GvdeMetni"/>
        <w:rPr>
          <w:b/>
        </w:rPr>
      </w:pPr>
    </w:p>
    <w:p w:rsidR="00745F34" w:rsidRDefault="00745F34" w:rsidP="00745F34">
      <w:pPr>
        <w:pStyle w:val="GvdeMetni"/>
        <w:jc w:val="both"/>
      </w:pPr>
      <w:r>
        <w:rPr>
          <w:b/>
        </w:rPr>
        <w:t xml:space="preserve">MADDE 6 </w:t>
      </w:r>
      <w:r>
        <w:t>– (1) Araştırmacıların proje yürütücüsü olarak görev alabilecekleri proje sayıları şunlardır; yürütücü niteliği taşıyan araştırmacılar eş zamanlı olarak, iki projede yürütücü ve iki projede araştırmacı olarak görev alabilirler. Yürütücüler sorumlu oldukları projenin sonuç raporu BAP komisyonu tarafından onaylanmadan veya reddedilmeden yeni bir proje başvurusunda bulunamazlar.</w:t>
      </w:r>
    </w:p>
    <w:p w:rsidR="0059443F" w:rsidRDefault="0059443F" w:rsidP="00745F34">
      <w:pPr>
        <w:pStyle w:val="GvdeMetni"/>
        <w:jc w:val="both"/>
      </w:pPr>
    </w:p>
    <w:p w:rsidR="0059443F" w:rsidRDefault="0059443F" w:rsidP="0059443F">
      <w:pPr>
        <w:pStyle w:val="Balk1"/>
        <w:ind w:left="0"/>
      </w:pPr>
      <w:r>
        <w:t>Başvuru Süreci</w:t>
      </w:r>
    </w:p>
    <w:p w:rsidR="0059443F" w:rsidRDefault="0059443F" w:rsidP="0059443F">
      <w:pPr>
        <w:pStyle w:val="GvdeMetni"/>
        <w:spacing w:before="7"/>
        <w:rPr>
          <w:b/>
          <w:sz w:val="23"/>
        </w:rPr>
      </w:pPr>
    </w:p>
    <w:p w:rsidR="0059443F" w:rsidRDefault="0059443F" w:rsidP="0059443F">
      <w:pPr>
        <w:pStyle w:val="GvdeMetni"/>
        <w:jc w:val="both"/>
      </w:pPr>
      <w:r>
        <w:rPr>
          <w:b/>
        </w:rPr>
        <w:t xml:space="preserve">MADDE 7 </w:t>
      </w:r>
      <w:r>
        <w:t>– (1) Projeler, Lokman Hekim Üniversitesi BAP Koordinasyon Birimi tarafından hazırlanan formlar kullanılarak hazırlanır ve çıktı alınarak teslim edilir. Başvurunun değerlendirmeye alınabilmesi için ilgili proje türünde istenilen belgelerin eksiksiz olarak sisteme yüklenmesi gerekir. Başvurusunu çevrimiçi olarak tamamlayan yürütücünün e-posta adresine değerlendirme sürecinin başladığına dair otomatik bilgilendirme iletisi gönderilir.</w:t>
      </w:r>
    </w:p>
    <w:p w:rsidR="0059443F" w:rsidRDefault="0059443F" w:rsidP="0059443F">
      <w:pPr>
        <w:pStyle w:val="GvdeMetni"/>
        <w:spacing w:before="9"/>
      </w:pPr>
    </w:p>
    <w:p w:rsidR="0059443F" w:rsidRDefault="0059443F" w:rsidP="0059443F">
      <w:pPr>
        <w:pStyle w:val="Balk1"/>
        <w:spacing w:before="1"/>
        <w:ind w:left="0"/>
      </w:pPr>
      <w:r>
        <w:t>Bütçe ve Harcama Kalemleri</w:t>
      </w:r>
    </w:p>
    <w:p w:rsidR="0059443F" w:rsidRDefault="0059443F" w:rsidP="0059443F">
      <w:pPr>
        <w:pStyle w:val="GvdeMetni"/>
        <w:spacing w:before="4"/>
        <w:rPr>
          <w:b/>
        </w:rPr>
      </w:pPr>
    </w:p>
    <w:p w:rsidR="0059443F" w:rsidRDefault="0059443F" w:rsidP="0059443F">
      <w:pPr>
        <w:pStyle w:val="GvdeMetni"/>
      </w:pPr>
      <w:r>
        <w:rPr>
          <w:b/>
        </w:rPr>
        <w:t xml:space="preserve">MADDE 8 </w:t>
      </w:r>
      <w:r>
        <w:t>– (1) Desteklenen BAP giderlerine ilişkin bütçe aşağıdaki şekilde gruplandırılmıştır:</w:t>
      </w:r>
    </w:p>
    <w:p w:rsidR="0059443F" w:rsidRDefault="0059443F" w:rsidP="0059443F">
      <w:pPr>
        <w:pStyle w:val="GvdeMetni"/>
      </w:pPr>
    </w:p>
    <w:p w:rsidR="0059443F" w:rsidRDefault="0059443F" w:rsidP="009B27E1">
      <w:pPr>
        <w:pStyle w:val="ListeParagraf"/>
        <w:numPr>
          <w:ilvl w:val="0"/>
          <w:numId w:val="3"/>
        </w:numPr>
        <w:tabs>
          <w:tab w:val="left" w:pos="363"/>
        </w:tabs>
        <w:spacing w:before="1" w:line="275" w:lineRule="exact"/>
        <w:ind w:left="0" w:right="0" w:firstLine="0"/>
        <w:jc w:val="left"/>
        <w:rPr>
          <w:sz w:val="24"/>
        </w:rPr>
      </w:pPr>
      <w:r>
        <w:rPr>
          <w:sz w:val="24"/>
        </w:rPr>
        <w:t>Makine ve</w:t>
      </w:r>
      <w:r>
        <w:rPr>
          <w:spacing w:val="1"/>
          <w:sz w:val="24"/>
        </w:rPr>
        <w:t xml:space="preserve"> </w:t>
      </w:r>
      <w:r>
        <w:rPr>
          <w:sz w:val="24"/>
        </w:rPr>
        <w:t>teçhizat</w:t>
      </w:r>
    </w:p>
    <w:p w:rsidR="0059443F" w:rsidRDefault="0059443F" w:rsidP="009B27E1">
      <w:pPr>
        <w:pStyle w:val="ListeParagraf"/>
        <w:numPr>
          <w:ilvl w:val="0"/>
          <w:numId w:val="3"/>
        </w:numPr>
        <w:tabs>
          <w:tab w:val="left" w:pos="378"/>
        </w:tabs>
        <w:spacing w:line="275" w:lineRule="exact"/>
        <w:ind w:left="0" w:right="0" w:firstLine="0"/>
        <w:jc w:val="left"/>
        <w:rPr>
          <w:sz w:val="24"/>
        </w:rPr>
      </w:pPr>
      <w:r>
        <w:rPr>
          <w:sz w:val="24"/>
        </w:rPr>
        <w:t>Sarf ve tüketim</w:t>
      </w:r>
      <w:r>
        <w:rPr>
          <w:spacing w:val="6"/>
          <w:sz w:val="24"/>
        </w:rPr>
        <w:t xml:space="preserve"> </w:t>
      </w:r>
      <w:r>
        <w:rPr>
          <w:sz w:val="24"/>
        </w:rPr>
        <w:t>malzemesi</w:t>
      </w:r>
    </w:p>
    <w:p w:rsidR="0059443F" w:rsidRDefault="0059443F" w:rsidP="009B27E1">
      <w:pPr>
        <w:pStyle w:val="ListeParagraf"/>
        <w:numPr>
          <w:ilvl w:val="0"/>
          <w:numId w:val="3"/>
        </w:numPr>
        <w:tabs>
          <w:tab w:val="left" w:pos="363"/>
        </w:tabs>
        <w:spacing w:before="2" w:line="275" w:lineRule="exact"/>
        <w:ind w:left="0" w:right="0" w:firstLine="0"/>
        <w:jc w:val="left"/>
        <w:rPr>
          <w:sz w:val="24"/>
        </w:rPr>
      </w:pPr>
      <w:r>
        <w:rPr>
          <w:sz w:val="24"/>
        </w:rPr>
        <w:t>Seyahat</w:t>
      </w:r>
    </w:p>
    <w:p w:rsidR="0059443F" w:rsidRDefault="0059443F" w:rsidP="009B27E1">
      <w:pPr>
        <w:pStyle w:val="ListeParagraf"/>
        <w:numPr>
          <w:ilvl w:val="0"/>
          <w:numId w:val="3"/>
        </w:numPr>
        <w:tabs>
          <w:tab w:val="left" w:pos="378"/>
        </w:tabs>
        <w:spacing w:line="275" w:lineRule="exact"/>
        <w:ind w:left="0" w:right="0" w:firstLine="0"/>
        <w:jc w:val="left"/>
        <w:rPr>
          <w:sz w:val="24"/>
        </w:rPr>
      </w:pPr>
      <w:r>
        <w:rPr>
          <w:sz w:val="24"/>
        </w:rPr>
        <w:t>Hizmet</w:t>
      </w:r>
      <w:r>
        <w:rPr>
          <w:spacing w:val="1"/>
          <w:sz w:val="24"/>
        </w:rPr>
        <w:t xml:space="preserve"> </w:t>
      </w:r>
      <w:r>
        <w:rPr>
          <w:sz w:val="24"/>
        </w:rPr>
        <w:t>alımı</w:t>
      </w:r>
    </w:p>
    <w:p w:rsidR="0059443F" w:rsidRDefault="0059443F" w:rsidP="0059443F">
      <w:pPr>
        <w:pStyle w:val="GvdeMetni"/>
        <w:spacing w:before="9"/>
      </w:pPr>
    </w:p>
    <w:p w:rsidR="0059443F" w:rsidRDefault="0059443F" w:rsidP="0059443F">
      <w:pPr>
        <w:pStyle w:val="ListeParagraf"/>
        <w:numPr>
          <w:ilvl w:val="0"/>
          <w:numId w:val="2"/>
        </w:numPr>
        <w:tabs>
          <w:tab w:val="left" w:pos="469"/>
        </w:tabs>
        <w:spacing w:before="1" w:line="242" w:lineRule="auto"/>
        <w:ind w:left="0" w:right="-28" w:firstLine="0"/>
        <w:rPr>
          <w:sz w:val="24"/>
        </w:rPr>
      </w:pPr>
      <w:r>
        <w:rPr>
          <w:sz w:val="24"/>
        </w:rPr>
        <w:t>Destek türlerine göre geçerli olan giderler ve destek üst limitleri her yıl belirlenerek BAP Koordinasyon Birimi internet adresinden araştırmacılara</w:t>
      </w:r>
      <w:r>
        <w:rPr>
          <w:spacing w:val="5"/>
          <w:sz w:val="24"/>
        </w:rPr>
        <w:t xml:space="preserve"> </w:t>
      </w:r>
      <w:r>
        <w:rPr>
          <w:sz w:val="24"/>
        </w:rPr>
        <w:t>duyurulur.</w:t>
      </w:r>
    </w:p>
    <w:p w:rsidR="0059443F" w:rsidRDefault="0059443F" w:rsidP="0059443F">
      <w:pPr>
        <w:pStyle w:val="GvdeMetni"/>
        <w:spacing w:before="8"/>
        <w:ind w:right="-28"/>
        <w:rPr>
          <w:sz w:val="23"/>
        </w:rPr>
      </w:pPr>
    </w:p>
    <w:p w:rsidR="0059443F" w:rsidRDefault="0059443F" w:rsidP="0059443F">
      <w:pPr>
        <w:pStyle w:val="ListeParagraf"/>
        <w:numPr>
          <w:ilvl w:val="0"/>
          <w:numId w:val="2"/>
        </w:numPr>
        <w:tabs>
          <w:tab w:val="left" w:pos="493"/>
        </w:tabs>
        <w:spacing w:line="242" w:lineRule="auto"/>
        <w:ind w:left="0" w:right="-28" w:firstLine="0"/>
        <w:rPr>
          <w:sz w:val="24"/>
        </w:rPr>
      </w:pPr>
      <w:r>
        <w:rPr>
          <w:sz w:val="24"/>
        </w:rPr>
        <w:t>Projeler esas olarak BAP komisyonu tarafından kabul edilen bütçe ve harcama planına göre tamamlanır.</w:t>
      </w:r>
    </w:p>
    <w:p w:rsidR="0059443F" w:rsidRDefault="0059443F" w:rsidP="0059443F">
      <w:pPr>
        <w:pStyle w:val="GvdeMetni"/>
        <w:spacing w:before="8"/>
        <w:ind w:right="-28"/>
        <w:rPr>
          <w:sz w:val="23"/>
        </w:rPr>
      </w:pPr>
    </w:p>
    <w:p w:rsidR="0059443F" w:rsidRDefault="0059443F" w:rsidP="0059443F">
      <w:pPr>
        <w:pStyle w:val="ListeParagraf"/>
        <w:numPr>
          <w:ilvl w:val="0"/>
          <w:numId w:val="2"/>
        </w:numPr>
        <w:tabs>
          <w:tab w:val="left" w:pos="483"/>
        </w:tabs>
        <w:spacing w:before="1"/>
        <w:ind w:left="0" w:right="-28" w:firstLine="0"/>
        <w:rPr>
          <w:sz w:val="24"/>
        </w:rPr>
      </w:pPr>
      <w:r>
        <w:rPr>
          <w:sz w:val="24"/>
        </w:rPr>
        <w:t xml:space="preserve">Yurtiçi/ yurtdışı seyahat giderleri, projelerin seyahat kalemlerinde, araştırma konularının geliştirilmesi, araştırmalarda ulusal ve uluslararası </w:t>
      </w:r>
      <w:proofErr w:type="gramStart"/>
      <w:r>
        <w:rPr>
          <w:sz w:val="24"/>
        </w:rPr>
        <w:t>işbirliklerinin</w:t>
      </w:r>
      <w:proofErr w:type="gramEnd"/>
      <w:r>
        <w:rPr>
          <w:sz w:val="24"/>
        </w:rPr>
        <w:t xml:space="preserve"> arttırılması, araştırmanın yönteminin geliştirilerek sonuçlarının sunulması gibi gerekçelerle yer aldığı takdirde desteklenebilir. Seyahat ve katılım giderleri </w:t>
      </w:r>
      <w:r>
        <w:rPr>
          <w:spacing w:val="-3"/>
          <w:sz w:val="24"/>
        </w:rPr>
        <w:t xml:space="preserve">BAP </w:t>
      </w:r>
      <w:r>
        <w:rPr>
          <w:sz w:val="24"/>
        </w:rPr>
        <w:t>komisyonu tarafından belirlenen proje türlerinde uygulama esaslarına uygun olarak karşılanabilir.</w:t>
      </w:r>
    </w:p>
    <w:p w:rsidR="0059443F" w:rsidRDefault="0059443F" w:rsidP="0059443F">
      <w:pPr>
        <w:pStyle w:val="GvdeMetni"/>
        <w:spacing w:before="4"/>
        <w:ind w:right="-28"/>
      </w:pPr>
    </w:p>
    <w:p w:rsidR="0059443F" w:rsidRDefault="0059443F" w:rsidP="0059443F">
      <w:pPr>
        <w:pStyle w:val="ListeParagraf"/>
        <w:numPr>
          <w:ilvl w:val="0"/>
          <w:numId w:val="2"/>
        </w:numPr>
        <w:tabs>
          <w:tab w:val="left" w:pos="570"/>
        </w:tabs>
        <w:spacing w:line="242" w:lineRule="auto"/>
        <w:ind w:left="0" w:right="-28" w:firstLine="0"/>
        <w:rPr>
          <w:sz w:val="24"/>
        </w:rPr>
      </w:pPr>
      <w:r>
        <w:rPr>
          <w:sz w:val="24"/>
        </w:rPr>
        <w:t>Araştırma veya kongre/sempozyum katılımı amacına yönelik seyahat giderlerinin karşılanabilmesi için, proje başvurusunda ilgili seyahat bütçesinin öngörülmüş ve BAP komisyonu tarafından onaylanmış olması</w:t>
      </w:r>
      <w:r>
        <w:rPr>
          <w:spacing w:val="4"/>
          <w:sz w:val="24"/>
        </w:rPr>
        <w:t xml:space="preserve"> </w:t>
      </w:r>
      <w:r>
        <w:rPr>
          <w:sz w:val="24"/>
        </w:rPr>
        <w:t>zorunludur.</w:t>
      </w:r>
    </w:p>
    <w:p w:rsidR="0059443F" w:rsidRDefault="0059443F" w:rsidP="0059443F">
      <w:pPr>
        <w:pStyle w:val="GvdeMetni"/>
        <w:spacing w:before="8"/>
        <w:rPr>
          <w:sz w:val="23"/>
        </w:rPr>
      </w:pPr>
    </w:p>
    <w:p w:rsidR="0059443F" w:rsidRDefault="0059443F" w:rsidP="005D1A9E">
      <w:pPr>
        <w:pStyle w:val="ListeParagraf"/>
        <w:numPr>
          <w:ilvl w:val="0"/>
          <w:numId w:val="2"/>
        </w:numPr>
        <w:tabs>
          <w:tab w:val="left" w:pos="503"/>
        </w:tabs>
        <w:spacing w:before="1"/>
        <w:ind w:left="0" w:right="-28" w:firstLine="0"/>
        <w:rPr>
          <w:sz w:val="24"/>
        </w:rPr>
      </w:pPr>
      <w:r>
        <w:rPr>
          <w:sz w:val="24"/>
        </w:rPr>
        <w:t xml:space="preserve">Projelerin değerlendirilmesi aşamasında BAP komisyonu tarafından onaylanan seyahat bütçesindeki tutarlar, makina-teçhizat, sarf malzemesi vb. Diğer kalemlere aktarılamaz. Benzer şekilde makina-teçhizat, sarf malzemesi </w:t>
      </w:r>
      <w:proofErr w:type="spellStart"/>
      <w:r>
        <w:rPr>
          <w:sz w:val="24"/>
        </w:rPr>
        <w:t>vb</w:t>
      </w:r>
      <w:proofErr w:type="spellEnd"/>
      <w:r>
        <w:rPr>
          <w:sz w:val="24"/>
        </w:rPr>
        <w:t xml:space="preserve"> diğer harcama kalemleri için BAP Komisyonu tarafından onaylanan tutarlar da seyahat bütçesine</w:t>
      </w:r>
      <w:r>
        <w:rPr>
          <w:spacing w:val="3"/>
          <w:sz w:val="24"/>
        </w:rPr>
        <w:t xml:space="preserve"> </w:t>
      </w:r>
      <w:r>
        <w:rPr>
          <w:sz w:val="24"/>
        </w:rPr>
        <w:t>aktarılamaz.</w:t>
      </w:r>
    </w:p>
    <w:p w:rsidR="005D1A9E" w:rsidRDefault="005D1A9E" w:rsidP="005D1A9E">
      <w:pPr>
        <w:tabs>
          <w:tab w:val="left" w:pos="503"/>
        </w:tabs>
        <w:spacing w:before="1"/>
        <w:ind w:right="-28"/>
        <w:rPr>
          <w:sz w:val="24"/>
        </w:rPr>
      </w:pPr>
    </w:p>
    <w:p w:rsidR="005D1A9E" w:rsidRDefault="005D1A9E" w:rsidP="005D1A9E">
      <w:pPr>
        <w:pStyle w:val="Balk1"/>
        <w:ind w:left="0"/>
      </w:pPr>
      <w:r>
        <w:t>Başvuru Belgeleri</w:t>
      </w:r>
    </w:p>
    <w:p w:rsidR="005D1A9E" w:rsidRDefault="005D1A9E" w:rsidP="005D1A9E">
      <w:pPr>
        <w:pStyle w:val="GvdeMetni"/>
        <w:rPr>
          <w:b/>
        </w:rPr>
      </w:pPr>
    </w:p>
    <w:p w:rsidR="005D1A9E" w:rsidRDefault="005D1A9E" w:rsidP="005D1A9E">
      <w:pPr>
        <w:pStyle w:val="GvdeMetni"/>
        <w:spacing w:line="242" w:lineRule="auto"/>
        <w:ind w:right="-28"/>
        <w:jc w:val="both"/>
      </w:pPr>
      <w:r>
        <w:rPr>
          <w:b/>
        </w:rPr>
        <w:t xml:space="preserve">MADDE 9 </w:t>
      </w:r>
      <w:r>
        <w:t>– (1) Destek türlerine göre birime teslim edilmesi gereken belgeler BAP Koordinasyon Birimine ait web sayfasında bulunmaktadır.</w:t>
      </w:r>
    </w:p>
    <w:p w:rsidR="005D1A9E" w:rsidRDefault="005D1A9E" w:rsidP="005D1A9E">
      <w:pPr>
        <w:tabs>
          <w:tab w:val="left" w:pos="503"/>
        </w:tabs>
        <w:spacing w:before="1"/>
        <w:ind w:right="-28"/>
        <w:rPr>
          <w:sz w:val="24"/>
        </w:rPr>
      </w:pPr>
    </w:p>
    <w:p w:rsidR="005D1A9E" w:rsidRDefault="005D1A9E" w:rsidP="005D1A9E">
      <w:pPr>
        <w:pStyle w:val="Balk1"/>
        <w:ind w:left="0"/>
      </w:pPr>
      <w:r>
        <w:t>Proje Süreci</w:t>
      </w:r>
    </w:p>
    <w:p w:rsidR="005D1A9E" w:rsidRDefault="005D1A9E" w:rsidP="005D1A9E">
      <w:pPr>
        <w:pStyle w:val="GvdeMetni"/>
        <w:ind w:hanging="113"/>
        <w:rPr>
          <w:b/>
        </w:rPr>
      </w:pPr>
    </w:p>
    <w:p w:rsidR="005D1A9E" w:rsidRDefault="005D1A9E" w:rsidP="005D1A9E">
      <w:pPr>
        <w:pStyle w:val="GvdeMetni"/>
        <w:ind w:right="-28"/>
        <w:jc w:val="both"/>
      </w:pPr>
      <w:r>
        <w:rPr>
          <w:b/>
        </w:rPr>
        <w:t xml:space="preserve">MADDE 10 </w:t>
      </w:r>
      <w:r>
        <w:t>– (1) Destek verilmesi kabul edilen projelerin yürütücülerine BAP Koordinasyon Birimi tarafından otomatik bilgilendirme iletisi gönderilir. Bu iletide, yürütücünün yapması gereken işlemler ve basılı olarak BAP Koordinasyon Birimi’ne sunulması gereken belgeler bildirilir. BAP Koordinasyon Birimi tarafından desteklenmesine karar verilen projelerin işleyiş, raporlama ve harcama süreçleri yazılı olarak ilan edilir ve uygulanır.</w:t>
      </w:r>
    </w:p>
    <w:p w:rsidR="005D1A9E" w:rsidRDefault="005D1A9E" w:rsidP="005D1A9E">
      <w:pPr>
        <w:tabs>
          <w:tab w:val="left" w:pos="503"/>
        </w:tabs>
        <w:spacing w:before="1"/>
        <w:ind w:right="-28"/>
        <w:rPr>
          <w:sz w:val="24"/>
        </w:rPr>
      </w:pPr>
    </w:p>
    <w:p w:rsidR="00FA369C" w:rsidRDefault="00FA369C" w:rsidP="00FA369C">
      <w:pPr>
        <w:pStyle w:val="Balk1"/>
        <w:ind w:left="0"/>
      </w:pPr>
      <w:r>
        <w:t>Ek Süre ve Bütçe Talebi</w:t>
      </w:r>
    </w:p>
    <w:p w:rsidR="00FA369C" w:rsidRDefault="00FA369C" w:rsidP="00FA369C">
      <w:pPr>
        <w:pStyle w:val="GvdeMetni"/>
        <w:spacing w:before="7"/>
        <w:rPr>
          <w:b/>
          <w:sz w:val="23"/>
        </w:rPr>
      </w:pPr>
    </w:p>
    <w:p w:rsidR="00FA369C" w:rsidRDefault="00FA369C" w:rsidP="00FA369C">
      <w:pPr>
        <w:pStyle w:val="GvdeMetni"/>
        <w:spacing w:line="247" w:lineRule="auto"/>
        <w:ind w:right="-28"/>
        <w:jc w:val="both"/>
      </w:pPr>
      <w:r>
        <w:rPr>
          <w:b/>
        </w:rPr>
        <w:t xml:space="preserve">MADDE 11 </w:t>
      </w:r>
      <w:r>
        <w:t>– (1) Desteklenen projelere ihtiyaç halinde, projenin başarı ile sürdürüldüğünün ara raporlar ile izlenebiliyor olması koşulu ile ek süre ve bütçe sağlanabilir.</w:t>
      </w:r>
    </w:p>
    <w:p w:rsidR="00FA369C" w:rsidRDefault="00FA369C" w:rsidP="00FA369C">
      <w:pPr>
        <w:pStyle w:val="GvdeMetni"/>
        <w:spacing w:before="2"/>
        <w:ind w:right="-28"/>
        <w:rPr>
          <w:sz w:val="23"/>
        </w:rPr>
      </w:pPr>
    </w:p>
    <w:p w:rsidR="00FA369C" w:rsidRDefault="00FA369C" w:rsidP="00FA369C">
      <w:pPr>
        <w:pStyle w:val="GvdeMetni"/>
        <w:spacing w:line="242" w:lineRule="auto"/>
        <w:ind w:right="-28"/>
        <w:jc w:val="both"/>
      </w:pPr>
      <w:r>
        <w:t>(2) Sağlanacak ek süre ve bütçe miktarı, yürütücünün gerekçeli talebinin BAP Komisyonu tarafından uygun görülmesi durumunda güncellenir.</w:t>
      </w:r>
    </w:p>
    <w:p w:rsidR="00FA369C" w:rsidRDefault="00FA369C" w:rsidP="005D1A9E">
      <w:pPr>
        <w:tabs>
          <w:tab w:val="left" w:pos="503"/>
        </w:tabs>
        <w:spacing w:before="1"/>
        <w:ind w:right="-28"/>
        <w:rPr>
          <w:sz w:val="24"/>
        </w:rPr>
      </w:pPr>
    </w:p>
    <w:p w:rsidR="00513BB7" w:rsidRDefault="00513BB7" w:rsidP="005D1A9E">
      <w:pPr>
        <w:tabs>
          <w:tab w:val="left" w:pos="503"/>
        </w:tabs>
        <w:spacing w:before="1"/>
        <w:ind w:right="-28"/>
        <w:rPr>
          <w:sz w:val="24"/>
        </w:rPr>
      </w:pPr>
    </w:p>
    <w:p w:rsidR="00513BB7" w:rsidRDefault="00513BB7" w:rsidP="00513BB7">
      <w:pPr>
        <w:pStyle w:val="Balk1"/>
        <w:ind w:left="0"/>
      </w:pPr>
      <w:r>
        <w:t>Proje Ekibinde Değişiklik Talebi</w:t>
      </w:r>
    </w:p>
    <w:p w:rsidR="00513BB7" w:rsidRDefault="00513BB7" w:rsidP="00513BB7">
      <w:pPr>
        <w:pStyle w:val="GvdeMetni"/>
        <w:rPr>
          <w:b/>
        </w:rPr>
      </w:pPr>
    </w:p>
    <w:p w:rsidR="00513BB7" w:rsidRDefault="00513BB7" w:rsidP="00513BB7">
      <w:pPr>
        <w:pStyle w:val="GvdeMetni"/>
        <w:spacing w:line="242" w:lineRule="auto"/>
        <w:ind w:right="-28"/>
        <w:jc w:val="both"/>
      </w:pPr>
      <w:r>
        <w:rPr>
          <w:b/>
        </w:rPr>
        <w:t xml:space="preserve">MADDE 12 </w:t>
      </w:r>
      <w:r>
        <w:t>– (1) Proje ekibi değişikliği gerektiğinde, değişiklik talebinin gerekçesi açıkça ifade edilmeli ve ekibe dahil edilecek veya ekipten çıkarılacak araştırmacının beyan dilekçesi taleple birlikte sunulmalıdır.</w:t>
      </w:r>
    </w:p>
    <w:p w:rsidR="00513BB7" w:rsidRDefault="00513BB7" w:rsidP="00513BB7">
      <w:pPr>
        <w:pStyle w:val="GvdeMetni"/>
        <w:spacing w:before="8"/>
        <w:rPr>
          <w:sz w:val="23"/>
        </w:rPr>
      </w:pPr>
    </w:p>
    <w:p w:rsidR="00513BB7" w:rsidRDefault="00513BB7" w:rsidP="00513BB7">
      <w:pPr>
        <w:pStyle w:val="ListeParagraf"/>
        <w:numPr>
          <w:ilvl w:val="0"/>
          <w:numId w:val="4"/>
        </w:numPr>
        <w:tabs>
          <w:tab w:val="left" w:pos="589"/>
        </w:tabs>
        <w:ind w:left="0" w:right="-28" w:firstLine="0"/>
        <w:rPr>
          <w:sz w:val="24"/>
        </w:rPr>
      </w:pPr>
      <w:r>
        <w:rPr>
          <w:sz w:val="24"/>
        </w:rPr>
        <w:t>BAP yürütücülerinin, Üniversite Yönetim Kurulu kararı gerektiren uzun süreli görevlendirme ve/veya izin (askerlik, sağlık problemleriyle ilgili izinler, doğum izni gibi) almaları durumunda ıslak imza gerektiren mali süreçlerle ilgili işlemlerin aksamaması için, projenin yürütücülüğünün ilgili tarihler arasında proje ekibindeki tam zamanlı bir öğretim üyesi ya da doktora, tıpta/diş hekimliğinde/eczacılıkta uzmanlık derecesi olan Lokman Hekim Üniversitesi personeli bir araştırmacıya devredilmesi gerekir. Ayrıca proje yürütücüsü izinli olduğu süre boyunca projesinin dondurulması için BAP Komisyonu’na talepte</w:t>
      </w:r>
      <w:r>
        <w:rPr>
          <w:spacing w:val="-14"/>
          <w:sz w:val="24"/>
        </w:rPr>
        <w:t xml:space="preserve"> </w:t>
      </w:r>
      <w:r>
        <w:rPr>
          <w:sz w:val="24"/>
        </w:rPr>
        <w:t>bulunabilir.</w:t>
      </w:r>
    </w:p>
    <w:p w:rsidR="00513BB7" w:rsidRDefault="00513BB7" w:rsidP="00513BB7">
      <w:pPr>
        <w:pStyle w:val="GvdeMetni"/>
        <w:spacing w:before="5"/>
      </w:pPr>
    </w:p>
    <w:p w:rsidR="00513BB7" w:rsidRDefault="00513BB7" w:rsidP="00513BB7">
      <w:pPr>
        <w:pStyle w:val="ListeParagraf"/>
        <w:numPr>
          <w:ilvl w:val="0"/>
          <w:numId w:val="4"/>
        </w:numPr>
        <w:tabs>
          <w:tab w:val="left" w:pos="570"/>
        </w:tabs>
        <w:spacing w:line="242" w:lineRule="auto"/>
        <w:ind w:left="0" w:right="-28" w:firstLine="0"/>
        <w:rPr>
          <w:sz w:val="24"/>
        </w:rPr>
      </w:pPr>
      <w:r>
        <w:rPr>
          <w:sz w:val="24"/>
        </w:rPr>
        <w:t>BAP Komisyonu’ndan onay alınarak devir işleminin yapılmaması veya projenin dondurulmaması halinde projeyle ilgili mali süreçler</w:t>
      </w:r>
      <w:r>
        <w:rPr>
          <w:spacing w:val="1"/>
          <w:sz w:val="24"/>
        </w:rPr>
        <w:t xml:space="preserve"> </w:t>
      </w:r>
      <w:r>
        <w:rPr>
          <w:sz w:val="24"/>
        </w:rPr>
        <w:t>durdurulur.</w:t>
      </w:r>
    </w:p>
    <w:p w:rsidR="00513BB7" w:rsidRDefault="00513BB7" w:rsidP="005D1A9E">
      <w:pPr>
        <w:tabs>
          <w:tab w:val="left" w:pos="503"/>
        </w:tabs>
        <w:spacing w:before="1"/>
        <w:ind w:right="-28"/>
        <w:rPr>
          <w:sz w:val="24"/>
        </w:rPr>
      </w:pPr>
    </w:p>
    <w:p w:rsidR="00513BB7" w:rsidRDefault="00513BB7" w:rsidP="00513BB7">
      <w:pPr>
        <w:pStyle w:val="Balk1"/>
        <w:spacing w:before="1"/>
        <w:ind w:left="0"/>
      </w:pPr>
      <w:r>
        <w:t>Proje İptali</w:t>
      </w:r>
    </w:p>
    <w:p w:rsidR="00513BB7" w:rsidRDefault="00513BB7" w:rsidP="00513BB7">
      <w:pPr>
        <w:pStyle w:val="GvdeMetni"/>
        <w:spacing w:before="11"/>
        <w:rPr>
          <w:b/>
          <w:sz w:val="23"/>
        </w:rPr>
      </w:pPr>
    </w:p>
    <w:p w:rsidR="00513BB7" w:rsidRDefault="00513BB7" w:rsidP="00513BB7">
      <w:pPr>
        <w:pStyle w:val="GvdeMetni"/>
        <w:tabs>
          <w:tab w:val="left" w:pos="8931"/>
        </w:tabs>
        <w:ind w:right="-28"/>
        <w:jc w:val="both"/>
      </w:pPr>
      <w:r>
        <w:rPr>
          <w:b/>
        </w:rPr>
        <w:t xml:space="preserve">MADDE 13 </w:t>
      </w:r>
      <w:r>
        <w:t>– (1) Proje iptali talebinde, iptal gerekçesi açıkça belirtilir. İptal talebi BAP Komisyonu tarafından kabul edildiği takdirde proje bütçesinden alınan demirbaş varsa ilgili akademik birime iade tutanağı ile iade edilmeli, varsa yapılmış bulunan hizmet alım sözleşmeleri feshedilmelidir.</w:t>
      </w:r>
    </w:p>
    <w:p w:rsidR="00D23B7A" w:rsidRDefault="00D23B7A" w:rsidP="00D23B7A">
      <w:pPr>
        <w:pStyle w:val="Balk1"/>
        <w:ind w:left="0"/>
      </w:pPr>
      <w:r>
        <w:t>Ara Rapor</w:t>
      </w:r>
    </w:p>
    <w:p w:rsidR="00D23B7A" w:rsidRDefault="00D23B7A" w:rsidP="00D23B7A">
      <w:pPr>
        <w:pStyle w:val="Balk1"/>
        <w:ind w:left="0"/>
      </w:pPr>
    </w:p>
    <w:p w:rsidR="00D23B7A" w:rsidRDefault="00D23B7A" w:rsidP="00D23B7A">
      <w:pPr>
        <w:pStyle w:val="GvdeMetni"/>
        <w:spacing w:before="72"/>
        <w:jc w:val="both"/>
      </w:pPr>
      <w:r>
        <w:rPr>
          <w:b/>
        </w:rPr>
        <w:t xml:space="preserve">MADDE 14 </w:t>
      </w:r>
      <w:r>
        <w:t>– (1) Desteklenen ve süresi 1 yılı aşan tüm projeler için 6 aylık dönemler halinde, desteğin türüne göre BAP Koordinasyon Birimi tarafından hazırlanacak formata uygun olarak hazırlanmış ara rapor BAP Koordinasyon Birimine çevrimiçi sunulmalıdır. Ek süre talebi onaylanan projelerde, proje süresinin 6 ayı geçmesi halinde her 6 aylık dilim için ara rapor</w:t>
      </w:r>
      <w:r>
        <w:rPr>
          <w:spacing w:val="-1"/>
        </w:rPr>
        <w:t xml:space="preserve"> </w:t>
      </w:r>
      <w:r>
        <w:t>istenir.</w:t>
      </w:r>
    </w:p>
    <w:p w:rsidR="00D23B7A" w:rsidRDefault="00D23B7A" w:rsidP="00D23B7A">
      <w:pPr>
        <w:pStyle w:val="GvdeMetni"/>
        <w:spacing w:before="5"/>
      </w:pPr>
    </w:p>
    <w:p w:rsidR="00D23B7A" w:rsidRDefault="00D23B7A" w:rsidP="00D23B7A">
      <w:pPr>
        <w:pStyle w:val="GvdeMetni"/>
        <w:ind w:right="-28"/>
        <w:jc w:val="both"/>
      </w:pPr>
      <w:r>
        <w:t xml:space="preserve">(2) Ara raporlarını istenen format ve sürede teslim etmeyen yürütücülerin projeleri durdurulur. Ara raporların içeriklerinde eksik </w:t>
      </w:r>
      <w:r>
        <w:rPr>
          <w:spacing w:val="-3"/>
        </w:rPr>
        <w:t xml:space="preserve">ya </w:t>
      </w:r>
      <w:r>
        <w:t>da noksanlık olması durumunda, BAP Koordinasyon Birimi tarafından raporun yeniden gözden geçirilmesi istenebilir. Süresi içinde yeniden gözden geçirilmeyen ve ara raporlarında şekil ve içerik yönünden eksiklik ve noksanlıkları giderilmeyen projeler</w:t>
      </w:r>
      <w:r>
        <w:rPr>
          <w:spacing w:val="7"/>
        </w:rPr>
        <w:t xml:space="preserve"> </w:t>
      </w:r>
      <w:r>
        <w:t>durdurulur.</w:t>
      </w:r>
    </w:p>
    <w:p w:rsidR="004A0DCB" w:rsidRDefault="004A0DCB" w:rsidP="004A0DCB">
      <w:pPr>
        <w:pStyle w:val="Balk1"/>
        <w:spacing w:before="1"/>
        <w:ind w:left="0"/>
        <w:jc w:val="both"/>
      </w:pPr>
      <w:r>
        <w:t>Sonuç Raporu</w:t>
      </w:r>
    </w:p>
    <w:p w:rsidR="004A0DCB" w:rsidRDefault="004A0DCB" w:rsidP="00D23B7A">
      <w:pPr>
        <w:pStyle w:val="Balk1"/>
        <w:ind w:left="0"/>
      </w:pPr>
    </w:p>
    <w:p w:rsidR="004A0DCB" w:rsidRDefault="004A0DCB" w:rsidP="004A0DCB">
      <w:pPr>
        <w:pStyle w:val="GvdeMetni"/>
        <w:spacing w:line="242" w:lineRule="auto"/>
        <w:ind w:right="-28"/>
        <w:jc w:val="both"/>
      </w:pPr>
      <w:r>
        <w:rPr>
          <w:b/>
        </w:rPr>
        <w:t xml:space="preserve">MADDE 15 </w:t>
      </w:r>
      <w:r>
        <w:t>– (1) Proje süresinin bitimini izleyen iki ay içerisinde sonuç raporu hazırlanır. Proje sonuç raporu sağlanan desteğin niteliğine uygun formata göre hazırlanarak çevrimiçi sunulur.</w:t>
      </w:r>
    </w:p>
    <w:p w:rsidR="004A0DCB" w:rsidRDefault="004A0DCB" w:rsidP="004A0DCB">
      <w:pPr>
        <w:pStyle w:val="GvdeMetni"/>
        <w:spacing w:before="3"/>
        <w:rPr>
          <w:sz w:val="23"/>
        </w:rPr>
      </w:pPr>
    </w:p>
    <w:p w:rsidR="004A0DCB" w:rsidRDefault="004A0DCB" w:rsidP="004A0DCB">
      <w:pPr>
        <w:pStyle w:val="ListeParagraf"/>
        <w:numPr>
          <w:ilvl w:val="0"/>
          <w:numId w:val="5"/>
        </w:numPr>
        <w:tabs>
          <w:tab w:val="left" w:pos="474"/>
        </w:tabs>
        <w:spacing w:line="242" w:lineRule="auto"/>
        <w:ind w:left="0" w:right="-28" w:firstLine="0"/>
        <w:jc w:val="both"/>
        <w:rPr>
          <w:sz w:val="24"/>
        </w:rPr>
      </w:pPr>
      <w:r>
        <w:rPr>
          <w:sz w:val="24"/>
        </w:rPr>
        <w:t>Hakem ve yeniden gözden geçirme süreçlerinden geçen ve olumlu görüş bildirilen sonuç raporları BAP Komisyonu tarafından karara bağlanır. BAP desteği alan tüm proje çıktılarında ve sonuç raporlarında alınan destek açıkça proje numarası verilerek önsöz, özet ya da teşekkür bölümlerinde belirtilir.</w:t>
      </w:r>
    </w:p>
    <w:p w:rsidR="004A0DCB" w:rsidRDefault="004A0DCB" w:rsidP="004A0DCB">
      <w:pPr>
        <w:pStyle w:val="GvdeMetni"/>
        <w:spacing w:before="8"/>
        <w:rPr>
          <w:sz w:val="23"/>
        </w:rPr>
      </w:pPr>
    </w:p>
    <w:p w:rsidR="004A0DCB" w:rsidRDefault="004A0DCB" w:rsidP="004A0DCB">
      <w:pPr>
        <w:pStyle w:val="ListeParagraf"/>
        <w:numPr>
          <w:ilvl w:val="0"/>
          <w:numId w:val="5"/>
        </w:numPr>
        <w:tabs>
          <w:tab w:val="left" w:pos="498"/>
        </w:tabs>
        <w:ind w:left="0" w:right="-28" w:firstLine="0"/>
        <w:jc w:val="both"/>
        <w:rPr>
          <w:sz w:val="24"/>
        </w:rPr>
      </w:pPr>
      <w:r>
        <w:rPr>
          <w:sz w:val="24"/>
        </w:rPr>
        <w:t>Proje çalışmalarını süresi içerisinde tamamlamayan, ara ve sonuç raporlarını süresinde vermeyen ya da harcamalarını onaylanan bütçe kalemlerine uygun olarak kullanmayan, yürütmekte olduğu projesi durdurulan yürütücüler, izleyen üç yıl süresince bu yönergede tanımlı BAP desteklerinden</w:t>
      </w:r>
      <w:r>
        <w:rPr>
          <w:spacing w:val="6"/>
          <w:sz w:val="24"/>
        </w:rPr>
        <w:t xml:space="preserve"> </w:t>
      </w:r>
      <w:r>
        <w:rPr>
          <w:sz w:val="24"/>
        </w:rPr>
        <w:t>yararlanamazlar.</w:t>
      </w:r>
    </w:p>
    <w:p w:rsidR="004A0DCB" w:rsidRDefault="004A0DCB" w:rsidP="004A0DCB">
      <w:pPr>
        <w:pStyle w:val="GvdeMetni"/>
        <w:spacing w:before="3"/>
      </w:pPr>
    </w:p>
    <w:p w:rsidR="004A0DCB" w:rsidRDefault="004A0DCB" w:rsidP="004A0DCB">
      <w:pPr>
        <w:pStyle w:val="ListeParagraf"/>
        <w:numPr>
          <w:ilvl w:val="0"/>
          <w:numId w:val="5"/>
        </w:numPr>
        <w:tabs>
          <w:tab w:val="left" w:pos="531"/>
        </w:tabs>
        <w:spacing w:line="242" w:lineRule="auto"/>
        <w:ind w:left="0" w:right="-28" w:firstLine="0"/>
        <w:jc w:val="both"/>
        <w:rPr>
          <w:sz w:val="24"/>
        </w:rPr>
      </w:pPr>
      <w:r>
        <w:rPr>
          <w:sz w:val="24"/>
        </w:rPr>
        <w:t xml:space="preserve">BAP bütçesinden desteklenmiş araştırmalardan kaynaklanan Türkçe yayınlarda; “Bu araştırma Lokman Hekim Üniversitesi Bilimsel Araştırma Projeleri Koordinasyon Birimi Koordinatörlüğü’nce desteklenmiştir. Proje No: .........., Yıl” İngilizce yayınlarda ise </w:t>
      </w:r>
      <w:r>
        <w:rPr>
          <w:i/>
          <w:sz w:val="24"/>
        </w:rPr>
        <w:t>“</w:t>
      </w:r>
      <w:proofErr w:type="spellStart"/>
      <w:r>
        <w:rPr>
          <w:i/>
          <w:sz w:val="24"/>
        </w:rPr>
        <w:t>This</w:t>
      </w:r>
      <w:proofErr w:type="spellEnd"/>
      <w:r>
        <w:rPr>
          <w:i/>
          <w:sz w:val="24"/>
        </w:rPr>
        <w:t xml:space="preserve"> </w:t>
      </w:r>
      <w:proofErr w:type="spellStart"/>
      <w:r>
        <w:rPr>
          <w:i/>
          <w:sz w:val="24"/>
        </w:rPr>
        <w:t>research</w:t>
      </w:r>
      <w:proofErr w:type="spellEnd"/>
      <w:r>
        <w:rPr>
          <w:i/>
          <w:sz w:val="24"/>
        </w:rPr>
        <w:t xml:space="preserve"> has </w:t>
      </w:r>
      <w:proofErr w:type="spellStart"/>
      <w:r>
        <w:rPr>
          <w:i/>
          <w:sz w:val="24"/>
        </w:rPr>
        <w:t>been</w:t>
      </w:r>
      <w:proofErr w:type="spellEnd"/>
      <w:r>
        <w:rPr>
          <w:i/>
          <w:sz w:val="24"/>
        </w:rPr>
        <w:t xml:space="preserve"> </w:t>
      </w:r>
      <w:proofErr w:type="spellStart"/>
      <w:r>
        <w:rPr>
          <w:i/>
          <w:sz w:val="24"/>
        </w:rPr>
        <w:t>supported</w:t>
      </w:r>
      <w:proofErr w:type="spellEnd"/>
      <w:r>
        <w:rPr>
          <w:i/>
          <w:sz w:val="24"/>
        </w:rPr>
        <w:t xml:space="preserve"> </w:t>
      </w:r>
      <w:proofErr w:type="spellStart"/>
      <w:r>
        <w:rPr>
          <w:i/>
          <w:sz w:val="24"/>
        </w:rPr>
        <w:t>by</w:t>
      </w:r>
      <w:proofErr w:type="spellEnd"/>
      <w:r>
        <w:rPr>
          <w:i/>
          <w:sz w:val="24"/>
        </w:rPr>
        <w:t xml:space="preserve"> Lokman Hekim </w:t>
      </w:r>
      <w:proofErr w:type="spellStart"/>
      <w:r>
        <w:rPr>
          <w:i/>
          <w:sz w:val="24"/>
        </w:rPr>
        <w:t>University</w:t>
      </w:r>
      <w:proofErr w:type="spellEnd"/>
      <w:r>
        <w:rPr>
          <w:i/>
          <w:sz w:val="24"/>
        </w:rPr>
        <w:t xml:space="preserve"> </w:t>
      </w:r>
      <w:proofErr w:type="spellStart"/>
      <w:r>
        <w:rPr>
          <w:i/>
          <w:sz w:val="24"/>
        </w:rPr>
        <w:t>Scientific</w:t>
      </w:r>
      <w:proofErr w:type="spellEnd"/>
      <w:r>
        <w:rPr>
          <w:i/>
          <w:sz w:val="24"/>
        </w:rPr>
        <w:t xml:space="preserve"> </w:t>
      </w:r>
      <w:proofErr w:type="spellStart"/>
      <w:r>
        <w:rPr>
          <w:i/>
          <w:sz w:val="24"/>
        </w:rPr>
        <w:t>Research</w:t>
      </w:r>
      <w:proofErr w:type="spellEnd"/>
      <w:r>
        <w:rPr>
          <w:i/>
          <w:sz w:val="24"/>
        </w:rPr>
        <w:t xml:space="preserve"> </w:t>
      </w:r>
      <w:proofErr w:type="spellStart"/>
      <w:r>
        <w:rPr>
          <w:i/>
          <w:sz w:val="24"/>
        </w:rPr>
        <w:t>Projects</w:t>
      </w:r>
      <w:proofErr w:type="spellEnd"/>
      <w:r>
        <w:rPr>
          <w:i/>
          <w:sz w:val="24"/>
        </w:rPr>
        <w:t xml:space="preserve"> </w:t>
      </w:r>
      <w:proofErr w:type="spellStart"/>
      <w:r>
        <w:rPr>
          <w:i/>
          <w:sz w:val="24"/>
        </w:rPr>
        <w:t>Coordination</w:t>
      </w:r>
      <w:proofErr w:type="spellEnd"/>
      <w:r>
        <w:rPr>
          <w:i/>
          <w:sz w:val="24"/>
        </w:rPr>
        <w:t xml:space="preserve"> </w:t>
      </w:r>
      <w:proofErr w:type="spellStart"/>
      <w:r>
        <w:rPr>
          <w:i/>
          <w:sz w:val="24"/>
        </w:rPr>
        <w:t>Unit</w:t>
      </w:r>
      <w:proofErr w:type="spellEnd"/>
      <w:r>
        <w:rPr>
          <w:i/>
          <w:sz w:val="24"/>
        </w:rPr>
        <w:t xml:space="preserve">. Project </w:t>
      </w:r>
      <w:proofErr w:type="spellStart"/>
      <w:r>
        <w:rPr>
          <w:i/>
          <w:sz w:val="24"/>
        </w:rPr>
        <w:t>Number</w:t>
      </w:r>
      <w:proofErr w:type="spellEnd"/>
      <w:r>
        <w:rPr>
          <w:i/>
          <w:sz w:val="24"/>
        </w:rPr>
        <w:t xml:space="preserve">: </w:t>
      </w:r>
      <w:proofErr w:type="gramStart"/>
      <w:r>
        <w:rPr>
          <w:i/>
          <w:sz w:val="24"/>
        </w:rPr>
        <w:t>........... ,</w:t>
      </w:r>
      <w:proofErr w:type="gramEnd"/>
      <w:r>
        <w:rPr>
          <w:i/>
          <w:sz w:val="24"/>
        </w:rPr>
        <w:t xml:space="preserve"> </w:t>
      </w:r>
      <w:proofErr w:type="spellStart"/>
      <w:r>
        <w:rPr>
          <w:i/>
          <w:sz w:val="24"/>
        </w:rPr>
        <w:t>Year</w:t>
      </w:r>
      <w:proofErr w:type="spellEnd"/>
      <w:r>
        <w:rPr>
          <w:i/>
          <w:sz w:val="24"/>
        </w:rPr>
        <w:t xml:space="preserve">” </w:t>
      </w:r>
      <w:r>
        <w:rPr>
          <w:sz w:val="24"/>
        </w:rPr>
        <w:t>dipnotu yer almalıdır. Ayrıca bu dipnot Üniversitemizin alt yapısının kullanıldığı tüm yayınlarda aynı şekilde</w:t>
      </w:r>
      <w:r>
        <w:rPr>
          <w:spacing w:val="-2"/>
          <w:sz w:val="24"/>
        </w:rPr>
        <w:t xml:space="preserve"> </w:t>
      </w:r>
      <w:r>
        <w:rPr>
          <w:sz w:val="24"/>
        </w:rPr>
        <w:t>belirtilmelidir.</w:t>
      </w:r>
    </w:p>
    <w:p w:rsidR="004A0DCB" w:rsidRDefault="004A0DCB" w:rsidP="004A0DCB">
      <w:pPr>
        <w:pStyle w:val="GvdeMetni"/>
        <w:spacing w:before="9"/>
        <w:rPr>
          <w:sz w:val="22"/>
        </w:rPr>
      </w:pPr>
    </w:p>
    <w:p w:rsidR="004A0DCB" w:rsidRDefault="004A0DCB" w:rsidP="004A0DCB">
      <w:pPr>
        <w:pStyle w:val="ListeParagraf"/>
        <w:numPr>
          <w:ilvl w:val="0"/>
          <w:numId w:val="5"/>
        </w:numPr>
        <w:tabs>
          <w:tab w:val="left" w:pos="479"/>
        </w:tabs>
        <w:spacing w:line="242" w:lineRule="auto"/>
        <w:ind w:left="0" w:right="-28" w:firstLine="0"/>
        <w:jc w:val="both"/>
        <w:rPr>
          <w:sz w:val="24"/>
        </w:rPr>
      </w:pPr>
      <w:r>
        <w:rPr>
          <w:sz w:val="24"/>
        </w:rPr>
        <w:t>BAP desteği alan araştırmaların, Proje Sonuç Raporunun sunulması sonrasında 1(bir) yıl içerisinde “</w:t>
      </w:r>
      <w:proofErr w:type="spellStart"/>
      <w:r>
        <w:rPr>
          <w:sz w:val="24"/>
        </w:rPr>
        <w:t>Science</w:t>
      </w:r>
      <w:proofErr w:type="spellEnd"/>
      <w:r>
        <w:rPr>
          <w:sz w:val="24"/>
        </w:rPr>
        <w:t xml:space="preserve"> </w:t>
      </w:r>
      <w:proofErr w:type="spellStart"/>
      <w:r>
        <w:rPr>
          <w:sz w:val="24"/>
        </w:rPr>
        <w:t>Citation</w:t>
      </w:r>
      <w:proofErr w:type="spellEnd"/>
      <w:r>
        <w:rPr>
          <w:sz w:val="24"/>
        </w:rPr>
        <w:t xml:space="preserve"> Index </w:t>
      </w:r>
      <w:proofErr w:type="spellStart"/>
      <w:r>
        <w:rPr>
          <w:sz w:val="24"/>
        </w:rPr>
        <w:t>Expanded</w:t>
      </w:r>
      <w:proofErr w:type="spellEnd"/>
      <w:r>
        <w:rPr>
          <w:sz w:val="24"/>
        </w:rPr>
        <w:t xml:space="preserve"> (SCIE), </w:t>
      </w:r>
      <w:proofErr w:type="spellStart"/>
      <w:r>
        <w:rPr>
          <w:sz w:val="24"/>
        </w:rPr>
        <w:t>Social</w:t>
      </w:r>
      <w:proofErr w:type="spellEnd"/>
      <w:r>
        <w:rPr>
          <w:sz w:val="24"/>
        </w:rPr>
        <w:t xml:space="preserve"> </w:t>
      </w:r>
      <w:proofErr w:type="spellStart"/>
      <w:r>
        <w:rPr>
          <w:sz w:val="24"/>
        </w:rPr>
        <w:t>Sciences</w:t>
      </w:r>
      <w:proofErr w:type="spellEnd"/>
      <w:r>
        <w:rPr>
          <w:sz w:val="24"/>
        </w:rPr>
        <w:t xml:space="preserve"> </w:t>
      </w:r>
      <w:proofErr w:type="spellStart"/>
      <w:r>
        <w:rPr>
          <w:sz w:val="24"/>
        </w:rPr>
        <w:t>Citation</w:t>
      </w:r>
      <w:proofErr w:type="spellEnd"/>
      <w:r>
        <w:rPr>
          <w:sz w:val="24"/>
        </w:rPr>
        <w:t xml:space="preserve"> Index (SSCI) ve </w:t>
      </w:r>
      <w:proofErr w:type="spellStart"/>
      <w:r>
        <w:rPr>
          <w:sz w:val="24"/>
        </w:rPr>
        <w:t>Arts</w:t>
      </w:r>
      <w:proofErr w:type="spellEnd"/>
      <w:r>
        <w:rPr>
          <w:sz w:val="24"/>
        </w:rPr>
        <w:t xml:space="preserve"> </w:t>
      </w:r>
      <w:proofErr w:type="spellStart"/>
      <w:r>
        <w:rPr>
          <w:sz w:val="24"/>
        </w:rPr>
        <w:t>and</w:t>
      </w:r>
      <w:proofErr w:type="spellEnd"/>
      <w:r>
        <w:rPr>
          <w:sz w:val="24"/>
        </w:rPr>
        <w:t xml:space="preserve"> </w:t>
      </w:r>
      <w:proofErr w:type="spellStart"/>
      <w:r>
        <w:rPr>
          <w:sz w:val="24"/>
        </w:rPr>
        <w:t>Humanities</w:t>
      </w:r>
      <w:proofErr w:type="spellEnd"/>
      <w:r>
        <w:rPr>
          <w:sz w:val="24"/>
        </w:rPr>
        <w:t xml:space="preserve"> </w:t>
      </w:r>
      <w:proofErr w:type="spellStart"/>
      <w:r>
        <w:rPr>
          <w:sz w:val="24"/>
        </w:rPr>
        <w:t>Citation</w:t>
      </w:r>
      <w:proofErr w:type="spellEnd"/>
      <w:r>
        <w:rPr>
          <w:sz w:val="24"/>
        </w:rPr>
        <w:t xml:space="preserve"> Index (A&amp;HCI)” indeksleri kapsamına giren dergilerde yayın haline dönüştürülmesi</w:t>
      </w:r>
      <w:r>
        <w:rPr>
          <w:spacing w:val="4"/>
          <w:sz w:val="24"/>
        </w:rPr>
        <w:t xml:space="preserve"> </w:t>
      </w:r>
      <w:r>
        <w:rPr>
          <w:sz w:val="24"/>
        </w:rPr>
        <w:t>gereklidir.</w:t>
      </w:r>
    </w:p>
    <w:p w:rsidR="004A0DCB" w:rsidRDefault="004A0DCB" w:rsidP="004A0DCB">
      <w:pPr>
        <w:pStyle w:val="GvdeMetni"/>
        <w:spacing w:before="7"/>
        <w:rPr>
          <w:sz w:val="23"/>
        </w:rPr>
      </w:pPr>
    </w:p>
    <w:p w:rsidR="004A0DCB" w:rsidRDefault="004A0DCB" w:rsidP="004A0DCB">
      <w:pPr>
        <w:pStyle w:val="ListeParagraf"/>
        <w:numPr>
          <w:ilvl w:val="0"/>
          <w:numId w:val="5"/>
        </w:numPr>
        <w:tabs>
          <w:tab w:val="left" w:pos="517"/>
        </w:tabs>
        <w:spacing w:before="1" w:line="242" w:lineRule="auto"/>
        <w:ind w:left="0" w:right="-28" w:firstLine="0"/>
        <w:jc w:val="both"/>
        <w:rPr>
          <w:sz w:val="24"/>
        </w:rPr>
      </w:pPr>
      <w:r>
        <w:rPr>
          <w:sz w:val="24"/>
        </w:rPr>
        <w:t>Proje yürütücülerinin yayınlarının hakem değerlendirmesinde veya basım aşamasında olduğunu belgelemeleri durumunda BAP komisyonu yayın koşulunun sağlanıp sağlanmadığını karara</w:t>
      </w:r>
      <w:r>
        <w:rPr>
          <w:spacing w:val="2"/>
          <w:sz w:val="24"/>
        </w:rPr>
        <w:t xml:space="preserve"> </w:t>
      </w:r>
      <w:r>
        <w:rPr>
          <w:sz w:val="24"/>
        </w:rPr>
        <w:t>bağlar.</w:t>
      </w:r>
    </w:p>
    <w:p w:rsidR="004A0DCB" w:rsidRDefault="004A0DCB" w:rsidP="004A0DCB">
      <w:pPr>
        <w:pStyle w:val="GvdeMetni"/>
        <w:spacing w:before="7"/>
        <w:rPr>
          <w:sz w:val="23"/>
        </w:rPr>
      </w:pPr>
    </w:p>
    <w:p w:rsidR="004A0DCB" w:rsidRDefault="004A0DCB" w:rsidP="004A0DCB">
      <w:pPr>
        <w:pStyle w:val="ListeParagraf"/>
        <w:numPr>
          <w:ilvl w:val="0"/>
          <w:numId w:val="5"/>
        </w:numPr>
        <w:tabs>
          <w:tab w:val="left" w:pos="546"/>
          <w:tab w:val="left" w:pos="8931"/>
        </w:tabs>
        <w:spacing w:before="1" w:line="242" w:lineRule="auto"/>
        <w:ind w:left="0" w:right="-28" w:firstLine="0"/>
        <w:jc w:val="both"/>
        <w:rPr>
          <w:sz w:val="24"/>
        </w:rPr>
      </w:pPr>
      <w:r>
        <w:rPr>
          <w:sz w:val="24"/>
        </w:rPr>
        <w:t>Araştırıcılara yayın yapılıncaya kadar tekrar proje, tez veya ulusal ve uluslararası sunumlar için destek</w:t>
      </w:r>
      <w:r>
        <w:rPr>
          <w:spacing w:val="7"/>
          <w:sz w:val="24"/>
        </w:rPr>
        <w:t xml:space="preserve"> </w:t>
      </w:r>
      <w:r>
        <w:rPr>
          <w:sz w:val="24"/>
        </w:rPr>
        <w:t>sağlanmaz.</w:t>
      </w:r>
    </w:p>
    <w:p w:rsidR="004A0DCB" w:rsidRDefault="004A0DCB" w:rsidP="004A0DCB">
      <w:pPr>
        <w:pStyle w:val="GvdeMetni"/>
        <w:spacing w:before="8"/>
        <w:rPr>
          <w:sz w:val="23"/>
        </w:rPr>
      </w:pPr>
    </w:p>
    <w:p w:rsidR="004A0DCB" w:rsidRDefault="004A0DCB" w:rsidP="004A0DCB">
      <w:pPr>
        <w:pStyle w:val="ListeParagraf"/>
        <w:numPr>
          <w:ilvl w:val="0"/>
          <w:numId w:val="5"/>
        </w:numPr>
        <w:tabs>
          <w:tab w:val="left" w:pos="531"/>
        </w:tabs>
        <w:ind w:left="0" w:right="-28" w:firstLine="0"/>
        <w:jc w:val="both"/>
        <w:rPr>
          <w:sz w:val="24"/>
        </w:rPr>
      </w:pPr>
      <w:r>
        <w:rPr>
          <w:sz w:val="24"/>
        </w:rPr>
        <w:t>Lisansüstü Tez Desteği alanlar, sonuç raporuna ek olarak tezin jüri tarafından onaylanan “</w:t>
      </w:r>
      <w:proofErr w:type="spellStart"/>
      <w:r>
        <w:rPr>
          <w:sz w:val="24"/>
        </w:rPr>
        <w:t>pdf</w:t>
      </w:r>
      <w:proofErr w:type="spellEnd"/>
      <w:r>
        <w:rPr>
          <w:sz w:val="24"/>
        </w:rPr>
        <w:t>” formatındaki kopyası ve tezin başarılı bulunarak tamamlandığına dair ilgili enstitüden alınan belge yazılım aracılığı ile BAP Koordinasyon Birimi’ne sunulur. Lokman</w:t>
      </w:r>
      <w:r>
        <w:rPr>
          <w:spacing w:val="2"/>
          <w:sz w:val="24"/>
        </w:rPr>
        <w:t xml:space="preserve"> </w:t>
      </w:r>
      <w:r>
        <w:rPr>
          <w:sz w:val="24"/>
        </w:rPr>
        <w:t>Hekim</w:t>
      </w:r>
    </w:p>
    <w:p w:rsidR="004A0DCB" w:rsidRDefault="004A0DCB" w:rsidP="004A0DCB">
      <w:pPr>
        <w:jc w:val="both"/>
        <w:rPr>
          <w:sz w:val="24"/>
        </w:rPr>
        <w:sectPr w:rsidR="004A0DCB">
          <w:footerReference w:type="default" r:id="rId7"/>
          <w:pgSz w:w="11910" w:h="16840"/>
          <w:pgMar w:top="1340" w:right="1120" w:bottom="960" w:left="1320" w:header="0" w:footer="779" w:gutter="0"/>
          <w:cols w:space="708"/>
        </w:sectPr>
      </w:pPr>
    </w:p>
    <w:p w:rsidR="004A0DCB" w:rsidRDefault="004A0DCB" w:rsidP="004A0DCB">
      <w:pPr>
        <w:pStyle w:val="GvdeMetni"/>
        <w:spacing w:before="72"/>
        <w:ind w:right="-28"/>
        <w:jc w:val="both"/>
      </w:pPr>
      <w:r>
        <w:t>Üniversitesi Lisansüstü Eğitim Öğretim ve Sınav Yönetmeliğine göre, azami süresinin geçmesine rağmen ilgili tez öğrencisinin çalışmalara devam etmemesi veya başarısızlığı nedeniyle proje çalışmasının tamamlanamaması durumunda, proje yürütücüsünün gerekçeli talebi üzerine bu türdeki projeler BAP Komisyonu tarafından iptal edilebilir. Bu tür durumlarda proje yürütücülerinin, dilekçelerine ek olarak, tez çalışmasının yapıldığı ilgili enstitü veya danışmanından alacağı, öğrencinin başarısızlık durumunu belirten yazıyı da sunmaları zorunludur. Projenin iptal edilmesi durumunda, proje kapsamında satın alınmış makine, teçhizat ve demirbaşlar, BAP Komisyonu kararına bağlı olarak, diğer araştırmalarda kullanılmak üzere proje yürütücüsüne veya çalışmanın yürütüldüğü bölüm/anabilim dalı başkanlığına teslim edilir. Ayrıca başarısızlıkları nedeniyle projenin iptal edilmesine neden olan lisansüstü öğrencileri, süresiz olarak BAP Koordinasyon Birimi desteklerinden faydalandırılmazlar. Proje bütçesinden alınan makina, teçhizat ve demirbaşlar projenin tamamlanmasını takiben Üniversitenin kullanımına sunulur.</w:t>
      </w:r>
    </w:p>
    <w:p w:rsidR="004A0DCB" w:rsidRDefault="004A0DCB" w:rsidP="00D23B7A">
      <w:pPr>
        <w:pStyle w:val="Balk1"/>
        <w:ind w:left="0"/>
      </w:pPr>
    </w:p>
    <w:p w:rsidR="004A0DCB" w:rsidRDefault="004A0DCB" w:rsidP="004A0DCB">
      <w:pPr>
        <w:pStyle w:val="Balk1"/>
        <w:ind w:left="0"/>
        <w:jc w:val="both"/>
      </w:pPr>
      <w:r>
        <w:t>Telif hakları</w:t>
      </w:r>
    </w:p>
    <w:p w:rsidR="004A0DCB" w:rsidRDefault="004A0DCB" w:rsidP="004A0DCB">
      <w:pPr>
        <w:pStyle w:val="GvdeMetni"/>
        <w:rPr>
          <w:b/>
        </w:rPr>
      </w:pPr>
    </w:p>
    <w:p w:rsidR="004A0DCB" w:rsidRDefault="004A0DCB" w:rsidP="004A0DCB">
      <w:pPr>
        <w:pStyle w:val="GvdeMetni"/>
        <w:tabs>
          <w:tab w:val="left" w:pos="8931"/>
        </w:tabs>
        <w:ind w:right="-28"/>
        <w:jc w:val="both"/>
      </w:pPr>
      <w:r>
        <w:rPr>
          <w:b/>
        </w:rPr>
        <w:t xml:space="preserve">MADDE 16 – </w:t>
      </w:r>
      <w:r>
        <w:t>(1) Bilimsel araştırma projeleri birimi tarafından desteklenen projelerden elde edilen bilimsel sonuçların telif hakkı Lokman Hekim Üniversitesine aittir. Bilimsel yayın, kitap ve benzeri eserlerin telif hakları Lokman Hekim Üniversitesi yönetim kurulunun teklifi ve Mütevelli Heyet Kararı ile kısmen veya tamamen eser sahiplerine devredilebilir.</w:t>
      </w:r>
    </w:p>
    <w:p w:rsidR="004A0DCB" w:rsidRDefault="004A0DCB" w:rsidP="004A0DCB">
      <w:pPr>
        <w:pStyle w:val="GvdeMetni"/>
        <w:spacing w:before="2"/>
      </w:pPr>
    </w:p>
    <w:p w:rsidR="004A0DCB" w:rsidRDefault="004A0DCB" w:rsidP="004A0DCB">
      <w:pPr>
        <w:pStyle w:val="GvdeMetni"/>
        <w:ind w:right="-28"/>
        <w:jc w:val="both"/>
      </w:pPr>
      <w:r>
        <w:t>(2) Gelir getirici, patent, buluş veya ürün ortaya çıkması durumunda ortaya çıkacak gelirin dağılımı Lokman Hekim Üniversitesi yönetim kurulu tarafından belirlenen ve Mütevelli Heyet tarafından onaylanan ilkelere uygun olarak gerçekleştirilir. Konuyla ilgili mevzuatta hak sahiplerine ödenmesi öngörülen oranlar hakkında bir düzenleme bulunması halinde ise ilgili mevzuat hükümleri</w:t>
      </w:r>
      <w:r>
        <w:rPr>
          <w:spacing w:val="5"/>
        </w:rPr>
        <w:t xml:space="preserve"> </w:t>
      </w:r>
      <w:r>
        <w:t>uygulanır.</w:t>
      </w:r>
    </w:p>
    <w:p w:rsidR="004A0DCB" w:rsidRDefault="004A0DCB" w:rsidP="004A0DCB">
      <w:pPr>
        <w:pStyle w:val="GvdeMetni"/>
        <w:spacing w:before="5"/>
        <w:ind w:right="-28"/>
      </w:pPr>
    </w:p>
    <w:p w:rsidR="004A0DCB" w:rsidRDefault="004A0DCB" w:rsidP="004A0DCB">
      <w:pPr>
        <w:pStyle w:val="GvdeMetni"/>
        <w:ind w:right="-28"/>
        <w:jc w:val="both"/>
      </w:pPr>
      <w:r>
        <w:rPr>
          <w:b/>
        </w:rPr>
        <w:t xml:space="preserve">MADDE 17 </w:t>
      </w:r>
      <w:r>
        <w:t>– Fikri ve Sınai Mülkiyet Desteği: Katma değeri yüksek bilimsel araştırmaların özendirilmesi ve teşvik edilmesi amacıyla, Lokman Hekim Üniversitesi araştırmacılarının bilimsel çalışmalarından elde edilen sonuçlara yönelik fikri ve sınai mülkiyet destekleri ilgili mevzuat dikkate alınarak gerçekleştirilir. Birden çok hak sahibinin olduğu durumlarda, destek başvurusu Üniversitemiz mensubu hak sahiplerinin üzerinde anlaştığı bir Lokman Hekim Üniversitesi personeli tarafından yapılır. Telif hakları işlemleri proje yürütücüsü sorumluluğunda Rektörlük tarafından yürütülür.</w:t>
      </w:r>
    </w:p>
    <w:p w:rsidR="004A0DCB" w:rsidRDefault="004A0DCB" w:rsidP="00D23B7A">
      <w:pPr>
        <w:pStyle w:val="Balk1"/>
        <w:ind w:left="0"/>
      </w:pPr>
    </w:p>
    <w:p w:rsidR="004A0DCB" w:rsidRDefault="004A0DCB" w:rsidP="00D23B7A">
      <w:pPr>
        <w:pStyle w:val="Balk1"/>
        <w:ind w:left="0"/>
      </w:pPr>
    </w:p>
    <w:p w:rsidR="002B1096" w:rsidRDefault="002B1096" w:rsidP="002B1096">
      <w:pPr>
        <w:pStyle w:val="Balk1"/>
        <w:spacing w:line="275" w:lineRule="exact"/>
        <w:ind w:left="183" w:right="362"/>
        <w:jc w:val="center"/>
      </w:pPr>
      <w:r>
        <w:t>ÜÇÜNCÜ BÖLÜM</w:t>
      </w:r>
    </w:p>
    <w:p w:rsidR="002B1096" w:rsidRDefault="002B1096" w:rsidP="002B1096">
      <w:pPr>
        <w:spacing w:line="275" w:lineRule="exact"/>
        <w:ind w:left="187" w:right="362"/>
        <w:jc w:val="center"/>
        <w:rPr>
          <w:b/>
          <w:sz w:val="24"/>
        </w:rPr>
      </w:pPr>
      <w:r>
        <w:rPr>
          <w:b/>
          <w:sz w:val="24"/>
        </w:rPr>
        <w:t>Destek Türleri</w:t>
      </w:r>
    </w:p>
    <w:p w:rsidR="002B1096" w:rsidRDefault="002B1096" w:rsidP="002B1096">
      <w:pPr>
        <w:pStyle w:val="GvdeMetni"/>
        <w:spacing w:before="5"/>
        <w:rPr>
          <w:b/>
        </w:rPr>
      </w:pPr>
    </w:p>
    <w:p w:rsidR="002B1096" w:rsidRDefault="002B1096" w:rsidP="002B1096">
      <w:pPr>
        <w:pStyle w:val="GvdeMetni"/>
        <w:spacing w:line="242" w:lineRule="auto"/>
        <w:ind w:right="-28"/>
        <w:jc w:val="both"/>
      </w:pPr>
      <w:r>
        <w:rPr>
          <w:b/>
        </w:rPr>
        <w:t xml:space="preserve">MADDE 18 </w:t>
      </w:r>
      <w:r>
        <w:t>– (1) Lokman Hekim Üniversitesi’nin ulusal ve uluslararası alanlardaki temel ve uygulamalı araştırma proje desteklerini içeren programdır.</w:t>
      </w:r>
    </w:p>
    <w:p w:rsidR="002B1096" w:rsidRDefault="002B1096" w:rsidP="002B1096">
      <w:pPr>
        <w:pStyle w:val="GvdeMetni"/>
        <w:spacing w:before="2"/>
      </w:pPr>
    </w:p>
    <w:p w:rsidR="002B1096" w:rsidRDefault="002B1096" w:rsidP="002B1096">
      <w:pPr>
        <w:pStyle w:val="GvdeMetni"/>
        <w:jc w:val="both"/>
      </w:pPr>
      <w:r>
        <w:t>(2) Bu kapsamdaki destekler, aşağıda belirtilen proje türleri aracılığıyla yürütülür;</w:t>
      </w:r>
    </w:p>
    <w:p w:rsidR="002B1096" w:rsidRDefault="002B1096" w:rsidP="002B1096">
      <w:pPr>
        <w:pStyle w:val="GvdeMetni"/>
      </w:pPr>
    </w:p>
    <w:p w:rsidR="002B1096" w:rsidRDefault="002B1096" w:rsidP="002B1096">
      <w:pPr>
        <w:pStyle w:val="ListeParagraf"/>
        <w:numPr>
          <w:ilvl w:val="0"/>
          <w:numId w:val="6"/>
        </w:numPr>
        <w:tabs>
          <w:tab w:val="left" w:pos="397"/>
          <w:tab w:val="left" w:pos="8789"/>
          <w:tab w:val="left" w:pos="8931"/>
        </w:tabs>
        <w:spacing w:line="242" w:lineRule="auto"/>
        <w:ind w:left="0" w:right="-28" w:firstLine="0"/>
        <w:rPr>
          <w:sz w:val="24"/>
        </w:rPr>
      </w:pPr>
      <w:r>
        <w:rPr>
          <w:sz w:val="24"/>
        </w:rPr>
        <w:t>Kapsamlı Araştırma Projeleri: Yurtiçi ve yurtdışından üniversiteler, araştırma enstitüleri, özel sektör ve ulusal/uluslararası kurum ve kuruluşların katılımıyla ortak yürütülecek, ulusal ve uluslararası kapsamda bilimsel ve sanatsal araştırma ve geliştirmeye yönelik hazırlanan en çok üç yıllık</w:t>
      </w:r>
      <w:r>
        <w:rPr>
          <w:spacing w:val="-1"/>
          <w:sz w:val="24"/>
        </w:rPr>
        <w:t xml:space="preserve"> </w:t>
      </w:r>
      <w:r>
        <w:rPr>
          <w:sz w:val="24"/>
        </w:rPr>
        <w:t>projelerdir.</w:t>
      </w:r>
    </w:p>
    <w:p w:rsidR="002B1096" w:rsidRDefault="002B1096" w:rsidP="002B1096">
      <w:pPr>
        <w:spacing w:line="242" w:lineRule="auto"/>
        <w:jc w:val="both"/>
        <w:rPr>
          <w:sz w:val="24"/>
        </w:rPr>
        <w:sectPr w:rsidR="002B1096">
          <w:pgSz w:w="11910" w:h="16840"/>
          <w:pgMar w:top="1340" w:right="1120" w:bottom="960" w:left="1320" w:header="0" w:footer="779" w:gutter="0"/>
          <w:cols w:space="708"/>
        </w:sectPr>
      </w:pPr>
    </w:p>
    <w:p w:rsidR="002B1096" w:rsidRDefault="002B1096" w:rsidP="002B1096">
      <w:pPr>
        <w:pStyle w:val="ListeParagraf"/>
        <w:numPr>
          <w:ilvl w:val="0"/>
          <w:numId w:val="6"/>
        </w:numPr>
        <w:tabs>
          <w:tab w:val="left" w:pos="488"/>
        </w:tabs>
        <w:spacing w:before="72" w:line="247" w:lineRule="auto"/>
        <w:ind w:left="0" w:right="-28" w:firstLine="0"/>
        <w:rPr>
          <w:sz w:val="24"/>
        </w:rPr>
      </w:pPr>
      <w:r>
        <w:rPr>
          <w:sz w:val="24"/>
        </w:rPr>
        <w:t>Hızlı Destek Projeleri: Lokman Hekim Üniversitesi’nin bilim ve sanat politikası doğrultusunda, öncelikli alanlara ve konulara yönelik hazırlanan azami bir yıllık</w:t>
      </w:r>
      <w:r>
        <w:rPr>
          <w:spacing w:val="-15"/>
          <w:sz w:val="24"/>
        </w:rPr>
        <w:t xml:space="preserve"> </w:t>
      </w:r>
      <w:r>
        <w:rPr>
          <w:sz w:val="24"/>
        </w:rPr>
        <w:t>projelerdir.</w:t>
      </w:r>
    </w:p>
    <w:p w:rsidR="002B1096" w:rsidRDefault="002B1096" w:rsidP="002B1096">
      <w:pPr>
        <w:pStyle w:val="GvdeMetni"/>
        <w:spacing w:before="2"/>
        <w:rPr>
          <w:sz w:val="23"/>
        </w:rPr>
      </w:pPr>
    </w:p>
    <w:p w:rsidR="002B1096" w:rsidRDefault="002B1096" w:rsidP="002B1096">
      <w:pPr>
        <w:pStyle w:val="ListeParagraf"/>
        <w:numPr>
          <w:ilvl w:val="0"/>
          <w:numId w:val="6"/>
        </w:numPr>
        <w:tabs>
          <w:tab w:val="left" w:pos="363"/>
        </w:tabs>
        <w:spacing w:line="242" w:lineRule="auto"/>
        <w:ind w:left="0" w:right="-28" w:firstLine="0"/>
        <w:rPr>
          <w:sz w:val="24"/>
        </w:rPr>
      </w:pPr>
      <w:r>
        <w:rPr>
          <w:sz w:val="24"/>
        </w:rPr>
        <w:t>Lisansüstü Tez Projeleri: Yüksek lisans, Tıpta/Eczacılıkta uzmanlık tez projeleri ve doktora tezlerini kapsayan, bir öğretim üyesinin yürütücülüğünde öğrencileri ile yürüttükleri araştırma projeleridir.</w:t>
      </w:r>
    </w:p>
    <w:p w:rsidR="002B1096" w:rsidRDefault="002B1096" w:rsidP="002B1096">
      <w:pPr>
        <w:pStyle w:val="GvdeMetni"/>
        <w:spacing w:before="3"/>
        <w:rPr>
          <w:sz w:val="23"/>
        </w:rPr>
      </w:pPr>
    </w:p>
    <w:p w:rsidR="002B1096" w:rsidRDefault="002B1096" w:rsidP="002B1096">
      <w:pPr>
        <w:pStyle w:val="GvdeMetni"/>
        <w:spacing w:line="247" w:lineRule="auto"/>
        <w:ind w:right="-28"/>
        <w:jc w:val="both"/>
      </w:pPr>
      <w:r>
        <w:t>Lisansüstü tez desteğinden yararlanan lisansüstü öğrencilerinin tezlerinde BAP desteğini açıkça belirtmesi gerekir.</w:t>
      </w:r>
    </w:p>
    <w:p w:rsidR="002B1096" w:rsidRDefault="002B1096" w:rsidP="002B1096">
      <w:pPr>
        <w:pStyle w:val="GvdeMetni"/>
        <w:spacing w:before="3"/>
        <w:rPr>
          <w:sz w:val="23"/>
        </w:rPr>
      </w:pPr>
    </w:p>
    <w:p w:rsidR="002B1096" w:rsidRDefault="002B1096" w:rsidP="002B1096">
      <w:pPr>
        <w:pStyle w:val="GvdeMetni"/>
        <w:spacing w:line="242" w:lineRule="auto"/>
        <w:ind w:right="-28"/>
        <w:jc w:val="both"/>
      </w:pPr>
      <w:r>
        <w:t>Lisansüstü tez desteği alanlardan, tez bitiminden itibaren en geç üç yıl içerisinde tez çıktılarına yönelik yayın yapmaları ve yayınlarında BAP desteğini açıkça belirtmeleri beklenir.</w:t>
      </w:r>
    </w:p>
    <w:p w:rsidR="002B1096" w:rsidRDefault="002B1096" w:rsidP="002B1096">
      <w:pPr>
        <w:pStyle w:val="GvdeMetni"/>
        <w:spacing w:before="3"/>
        <w:rPr>
          <w:sz w:val="23"/>
        </w:rPr>
      </w:pPr>
    </w:p>
    <w:p w:rsidR="002B1096" w:rsidRDefault="002B1096" w:rsidP="002B1096">
      <w:pPr>
        <w:pStyle w:val="GvdeMetni"/>
        <w:tabs>
          <w:tab w:val="left" w:pos="8789"/>
          <w:tab w:val="left" w:pos="8931"/>
        </w:tabs>
        <w:ind w:right="-28"/>
        <w:jc w:val="both"/>
      </w:pPr>
      <w:proofErr w:type="gramStart"/>
      <w:r>
        <w:t>ç</w:t>
      </w:r>
      <w:proofErr w:type="gramEnd"/>
      <w:r>
        <w:t>) Bilimsel Etkinlik Düzenleme Projeleri: Lokman Hekim Üniversitesi ev sahipliğinde düzenlenecek ulusal veya uluslararası bilimsel içerikli, bilim ve danışma kurulu gibi organları olan, sözlü veya poster sunumlarının hakemsiz veya hakemli değerlendirmesiyle belirlendiği ve bildiri kitabının basıldığı kongre, sempozyum, konferans ve benzerlerine yönelik projelerdir.</w:t>
      </w:r>
    </w:p>
    <w:p w:rsidR="002B1096" w:rsidRDefault="002B1096" w:rsidP="002B1096">
      <w:pPr>
        <w:pStyle w:val="GvdeMetni"/>
        <w:spacing w:before="5"/>
      </w:pPr>
    </w:p>
    <w:p w:rsidR="002B1096" w:rsidRDefault="002B1096" w:rsidP="002B1096">
      <w:pPr>
        <w:pStyle w:val="ListeParagraf"/>
        <w:numPr>
          <w:ilvl w:val="0"/>
          <w:numId w:val="6"/>
        </w:numPr>
        <w:tabs>
          <w:tab w:val="left" w:pos="426"/>
        </w:tabs>
        <w:spacing w:line="242" w:lineRule="auto"/>
        <w:ind w:left="0" w:right="-28" w:firstLine="0"/>
        <w:rPr>
          <w:sz w:val="24"/>
        </w:rPr>
      </w:pPr>
      <w:r>
        <w:rPr>
          <w:sz w:val="24"/>
        </w:rPr>
        <w:t>Lisans Öğrencisi Araştırma Projesi: Lokman Hekim Üniversitesi 4 yıl ve üzeri eğitim veren birimlerine kayıtlı lisans öğrencilerinin araştırma faaliyetlerine katılmalarının teşvik edilmesi ve araştırma kültürlerinin oluşturulması için geliştirilmiş proje türüdür. Projelerin yürütücülüğünü Lokman Hekim Üniversitesi öğretim üyeleri</w:t>
      </w:r>
      <w:r>
        <w:rPr>
          <w:spacing w:val="9"/>
          <w:sz w:val="24"/>
        </w:rPr>
        <w:t xml:space="preserve"> </w:t>
      </w:r>
      <w:r>
        <w:rPr>
          <w:sz w:val="24"/>
        </w:rPr>
        <w:t>üstlenir.</w:t>
      </w:r>
    </w:p>
    <w:p w:rsidR="002B1096" w:rsidRDefault="002B1096" w:rsidP="002B1096">
      <w:pPr>
        <w:pStyle w:val="GvdeMetni"/>
        <w:spacing w:before="8"/>
        <w:rPr>
          <w:sz w:val="23"/>
        </w:rPr>
      </w:pPr>
    </w:p>
    <w:p w:rsidR="002B1096" w:rsidRDefault="002B1096" w:rsidP="002B1096">
      <w:pPr>
        <w:pStyle w:val="ListeParagraf"/>
        <w:numPr>
          <w:ilvl w:val="0"/>
          <w:numId w:val="6"/>
        </w:numPr>
        <w:tabs>
          <w:tab w:val="left" w:pos="440"/>
        </w:tabs>
        <w:ind w:left="0" w:right="-28" w:firstLine="0"/>
        <w:rPr>
          <w:sz w:val="24"/>
        </w:rPr>
      </w:pPr>
      <w:r>
        <w:rPr>
          <w:sz w:val="24"/>
        </w:rPr>
        <w:t xml:space="preserve">Uluslararası </w:t>
      </w:r>
      <w:proofErr w:type="gramStart"/>
      <w:r>
        <w:rPr>
          <w:sz w:val="24"/>
        </w:rPr>
        <w:t>İşbirliği</w:t>
      </w:r>
      <w:proofErr w:type="gramEnd"/>
      <w:r>
        <w:rPr>
          <w:sz w:val="24"/>
        </w:rPr>
        <w:t xml:space="preserve"> Destek Projesi: Lokman Hekim Üniversitesi öğretim üyelerinin uluslararası düzeyde tanınmış olan dünyanın önde gelen üniversitelerinde veya araştırma merkezlerinde ilgili kuruluşlardan araştırmacılarla işbirliği içerisinde yürütülecek araştırma projeleridir. Bu kapsamda uluslararası yetkinliğe sahip üniversitelerin araştırmacı öğretim elemanlarının ders verme, araştırma yapma ve geliştirme gibi bilimsel faaliyetlerde bulunmak üzere Üniversitemizdeki ilgili faaliyetlere katılması</w:t>
      </w:r>
      <w:r>
        <w:rPr>
          <w:spacing w:val="1"/>
          <w:sz w:val="24"/>
        </w:rPr>
        <w:t xml:space="preserve"> </w:t>
      </w:r>
      <w:r>
        <w:rPr>
          <w:sz w:val="24"/>
        </w:rPr>
        <w:t>desteklenebilir.</w:t>
      </w:r>
    </w:p>
    <w:p w:rsidR="002B1096" w:rsidRDefault="002B1096" w:rsidP="002B1096">
      <w:pPr>
        <w:pStyle w:val="GvdeMetni"/>
        <w:spacing w:before="2"/>
      </w:pPr>
    </w:p>
    <w:p w:rsidR="002B1096" w:rsidRDefault="002B1096" w:rsidP="002B1096">
      <w:pPr>
        <w:pStyle w:val="ListeParagraf"/>
        <w:numPr>
          <w:ilvl w:val="0"/>
          <w:numId w:val="6"/>
        </w:numPr>
        <w:tabs>
          <w:tab w:val="left" w:pos="397"/>
        </w:tabs>
        <w:spacing w:line="242" w:lineRule="auto"/>
        <w:ind w:left="0" w:right="-28" w:firstLine="0"/>
        <w:rPr>
          <w:sz w:val="24"/>
        </w:rPr>
      </w:pPr>
      <w:r>
        <w:rPr>
          <w:sz w:val="24"/>
        </w:rPr>
        <w:t>Eğitim Programlarının Akreditasyonu Destek Projesi: Lokman Hekim Üniversitesi’nde bulunan ön lisans, lisans ve lisansüstü programların akreditasyon işlemlerine destek proje türüdür.</w:t>
      </w:r>
    </w:p>
    <w:p w:rsidR="004A0DCB" w:rsidRDefault="004A0DCB" w:rsidP="00D23B7A">
      <w:pPr>
        <w:pStyle w:val="Balk1"/>
        <w:ind w:left="0"/>
      </w:pPr>
    </w:p>
    <w:p w:rsidR="002B1096" w:rsidRDefault="002B1096" w:rsidP="00D23B7A">
      <w:pPr>
        <w:pStyle w:val="Balk1"/>
        <w:ind w:left="0"/>
      </w:pPr>
    </w:p>
    <w:p w:rsidR="002B1096" w:rsidRDefault="002B1096" w:rsidP="002B1096">
      <w:pPr>
        <w:pStyle w:val="Balk1"/>
        <w:spacing w:line="275" w:lineRule="exact"/>
        <w:ind w:left="189" w:right="362"/>
        <w:jc w:val="center"/>
      </w:pPr>
      <w:r>
        <w:t>DÖRDÜNCÜ BÖLÜM</w:t>
      </w:r>
    </w:p>
    <w:p w:rsidR="002B1096" w:rsidRDefault="002B1096" w:rsidP="002B1096">
      <w:pPr>
        <w:spacing w:line="275" w:lineRule="exact"/>
        <w:ind w:left="189" w:right="362"/>
        <w:jc w:val="center"/>
        <w:rPr>
          <w:b/>
          <w:sz w:val="24"/>
        </w:rPr>
      </w:pPr>
      <w:r>
        <w:rPr>
          <w:b/>
          <w:sz w:val="24"/>
        </w:rPr>
        <w:t>Yürürlük ve Uygulama Hüküm Bulunmayan Haller</w:t>
      </w:r>
    </w:p>
    <w:p w:rsidR="002B1096" w:rsidRDefault="002B1096" w:rsidP="002B1096">
      <w:pPr>
        <w:pStyle w:val="GvdeMetni"/>
        <w:spacing w:before="10"/>
        <w:rPr>
          <w:b/>
        </w:rPr>
      </w:pPr>
    </w:p>
    <w:p w:rsidR="002B1096" w:rsidRDefault="002B1096" w:rsidP="002B1096">
      <w:pPr>
        <w:pStyle w:val="GvdeMetni"/>
        <w:ind w:right="-28"/>
        <w:jc w:val="both"/>
      </w:pPr>
      <w:r>
        <w:rPr>
          <w:b/>
        </w:rPr>
        <w:t xml:space="preserve">MADDE 19 – </w:t>
      </w:r>
      <w:r>
        <w:t xml:space="preserve">(1) Bu yönergede hüküm bulunmayan hallerde 04.11.1981 tarihli ve 2547 sayılı Yükseköğretim Kanununun </w:t>
      </w:r>
      <w:proofErr w:type="gramStart"/>
      <w:r>
        <w:t>4 üncü</w:t>
      </w:r>
      <w:proofErr w:type="gramEnd"/>
      <w:r>
        <w:t xml:space="preserve"> maddesinin birinci fıkrasının (c) bendi, 58 inci maddesinin (b) fıkrası ile Ek 28 inci maddesi uyarınca 26.11.2016 tarih ve 29900 sayılı Resmi </w:t>
      </w:r>
      <w:proofErr w:type="spellStart"/>
      <w:r>
        <w:t>Gazete’de</w:t>
      </w:r>
      <w:proofErr w:type="spellEnd"/>
      <w:r>
        <w:t xml:space="preserve"> yayımlanan “Yükseköğretim Kurumları Bilimsel Araştırma Projeleri Hakkındaki Yönetmelik” hükümleri</w:t>
      </w:r>
      <w:r>
        <w:rPr>
          <w:spacing w:val="2"/>
        </w:rPr>
        <w:t xml:space="preserve"> </w:t>
      </w:r>
      <w:r>
        <w:t>uygulanır.</w:t>
      </w:r>
    </w:p>
    <w:p w:rsidR="002B1096" w:rsidRDefault="002B1096" w:rsidP="002B1096">
      <w:pPr>
        <w:pStyle w:val="GvdeMetni"/>
      </w:pPr>
    </w:p>
    <w:p w:rsidR="002B1096" w:rsidRDefault="002B1096" w:rsidP="002B1096">
      <w:pPr>
        <w:pStyle w:val="Balk1"/>
        <w:spacing w:line="275" w:lineRule="exact"/>
        <w:ind w:left="0"/>
      </w:pPr>
      <w:r>
        <w:t>Yürürlük</w:t>
      </w:r>
    </w:p>
    <w:p w:rsidR="002B1096" w:rsidRDefault="002B1096" w:rsidP="002B1096">
      <w:pPr>
        <w:pStyle w:val="GvdeMetni"/>
        <w:spacing w:line="247" w:lineRule="auto"/>
        <w:ind w:right="-28"/>
        <w:sectPr w:rsidR="002B1096">
          <w:pgSz w:w="11910" w:h="16840"/>
          <w:pgMar w:top="1340" w:right="1120" w:bottom="960" w:left="1320" w:header="0" w:footer="779" w:gutter="0"/>
          <w:cols w:space="708"/>
        </w:sectPr>
      </w:pPr>
      <w:r>
        <w:rPr>
          <w:b/>
        </w:rPr>
        <w:t xml:space="preserve">MADDE 20 – </w:t>
      </w:r>
      <w:r>
        <w:t>(1) Bu Yönerge, Lokman Hekim Üniversitesi Senatosu tarafından kabul edildiği tarihte yürürlüğe girer</w:t>
      </w:r>
      <w:r w:rsidR="00B333E5">
        <w:t xml:space="preserve">. </w:t>
      </w:r>
    </w:p>
    <w:p w:rsidR="002B1096" w:rsidRDefault="002B1096" w:rsidP="002B1096">
      <w:pPr>
        <w:pStyle w:val="Balk1"/>
        <w:spacing w:before="72"/>
        <w:ind w:left="0"/>
      </w:pPr>
      <w:r>
        <w:t>Yürütme</w:t>
      </w:r>
    </w:p>
    <w:p w:rsidR="00B333E5" w:rsidRDefault="00B333E5" w:rsidP="002B1096">
      <w:pPr>
        <w:pStyle w:val="GvdeMetni"/>
        <w:spacing w:before="7"/>
        <w:ind w:left="113"/>
        <w:rPr>
          <w:b/>
        </w:rPr>
      </w:pPr>
    </w:p>
    <w:p w:rsidR="00C85C3F" w:rsidRDefault="002B1096" w:rsidP="00C85C3F">
      <w:pPr>
        <w:pStyle w:val="GvdeMetni"/>
        <w:spacing w:before="7"/>
      </w:pPr>
      <w:r>
        <w:rPr>
          <w:b/>
        </w:rPr>
        <w:t xml:space="preserve">MADDE 21 – </w:t>
      </w:r>
      <w:r>
        <w:t>(1) Bu Yönerge hükümlerini Lokman Hekim Üniversitesi Rektörü yürütür</w:t>
      </w:r>
      <w:r w:rsidR="00C85C3F">
        <w:t>.</w:t>
      </w:r>
    </w:p>
    <w:p w:rsidR="00C85C3F" w:rsidRDefault="00C85C3F" w:rsidP="00C85C3F">
      <w:pPr>
        <w:pStyle w:val="GvdeMetni"/>
        <w:spacing w:before="7"/>
      </w:pPr>
    </w:p>
    <w:p w:rsidR="006E3367" w:rsidRPr="00486488" w:rsidRDefault="006E3367" w:rsidP="00C85C3F">
      <w:pPr>
        <w:spacing w:line="360" w:lineRule="auto"/>
        <w:jc w:val="both"/>
        <w:rPr>
          <w:sz w:val="24"/>
          <w:szCs w:val="24"/>
        </w:rPr>
      </w:pPr>
    </w:p>
    <w:sectPr w:rsidR="006E3367" w:rsidRPr="0048648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161D" w:rsidRDefault="00EF161D">
      <w:r>
        <w:separator/>
      </w:r>
    </w:p>
  </w:endnote>
  <w:endnote w:type="continuationSeparator" w:id="0">
    <w:p w:rsidR="00EF161D" w:rsidRDefault="00EF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28" w:rsidRDefault="00DC3530">
    <w:pPr>
      <w:pStyle w:val="GvdeMetni"/>
      <w:spacing w:line="14" w:lineRule="auto"/>
      <w:rPr>
        <w:sz w:val="20"/>
      </w:rPr>
    </w:pPr>
    <w:r>
      <w:rPr>
        <w:noProof/>
      </w:rPr>
      <w:pict w14:anchorId="732D48D9">
        <v:shapetype id="_x0000_t202" coordsize="21600,21600" o:spt="202" path="m,l,21600r21600,l21600,xe">
          <v:stroke joinstyle="miter"/>
          <v:path gradientshapeok="t" o:connecttype="rect"/>
        </v:shapetype>
        <v:shape id="_x0000_s1025" type="#_x0000_t202" alt="" style="position:absolute;margin-left:292.35pt;margin-top:791.95pt;width:12.1pt;height:16.65pt;z-index:-251658752;mso-wrap-style:square;mso-wrap-edited:f;mso-width-percent:0;mso-height-percent:0;mso-position-horizontal-relative:page;mso-position-vertical-relative:page;mso-width-percent:0;mso-height-percent:0;v-text-anchor:top" filled="f" stroked="f">
          <v:textbox style="mso-next-textbox:#_x0000_s1025" inset="0,0,0,0">
            <w:txbxContent>
              <w:p w:rsidR="008F3D28" w:rsidRDefault="00C85C3F">
                <w:pPr>
                  <w:pStyle w:val="GvdeMetni"/>
                  <w:spacing w:before="23"/>
                  <w:ind w:left="60"/>
                  <w:rPr>
                    <w:rFonts w:ascii="Trebuchet MS"/>
                  </w:rPr>
                </w:pPr>
                <w:r>
                  <w:fldChar w:fldCharType="begin"/>
                </w:r>
                <w:r>
                  <w:rPr>
                    <w:rFonts w:ascii="Trebuchet MS"/>
                    <w:w w:val="96"/>
                  </w:rPr>
                  <w:instrText xml:space="preserve"> PAGE </w:instrText>
                </w:r>
                <w:r>
                  <w:fldChar w:fldCharType="separate"/>
                </w:r>
                <w:r>
                  <w:rPr>
                    <w:rFonts w:ascii="Trebuchet MS"/>
                    <w:noProof/>
                    <w:w w:val="96"/>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161D" w:rsidRDefault="00EF161D">
      <w:r>
        <w:separator/>
      </w:r>
    </w:p>
  </w:footnote>
  <w:footnote w:type="continuationSeparator" w:id="0">
    <w:p w:rsidR="00EF161D" w:rsidRDefault="00EF1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7B2911"/>
    <w:multiLevelType w:val="hybridMultilevel"/>
    <w:tmpl w:val="766A5544"/>
    <w:lvl w:ilvl="0" w:tplc="86283342">
      <w:start w:val="1"/>
      <w:numFmt w:val="lowerLetter"/>
      <w:lvlText w:val="%1)"/>
      <w:lvlJc w:val="left"/>
      <w:pPr>
        <w:ind w:left="362" w:hanging="250"/>
      </w:pPr>
      <w:rPr>
        <w:rFonts w:ascii="Times New Roman" w:eastAsia="Times New Roman" w:hAnsi="Times New Roman" w:cs="Times New Roman" w:hint="default"/>
        <w:spacing w:val="-1"/>
        <w:w w:val="100"/>
        <w:sz w:val="24"/>
        <w:szCs w:val="24"/>
        <w:lang w:val="tr-TR" w:eastAsia="en-US" w:bidi="ar-SA"/>
      </w:rPr>
    </w:lvl>
    <w:lvl w:ilvl="1" w:tplc="B4ACDF30">
      <w:numFmt w:val="bullet"/>
      <w:lvlText w:val="•"/>
      <w:lvlJc w:val="left"/>
      <w:pPr>
        <w:ind w:left="1270" w:hanging="250"/>
      </w:pPr>
      <w:rPr>
        <w:rFonts w:hint="default"/>
        <w:lang w:val="tr-TR" w:eastAsia="en-US" w:bidi="ar-SA"/>
      </w:rPr>
    </w:lvl>
    <w:lvl w:ilvl="2" w:tplc="D19CD390">
      <w:numFmt w:val="bullet"/>
      <w:lvlText w:val="•"/>
      <w:lvlJc w:val="left"/>
      <w:pPr>
        <w:ind w:left="2181" w:hanging="250"/>
      </w:pPr>
      <w:rPr>
        <w:rFonts w:hint="default"/>
        <w:lang w:val="tr-TR" w:eastAsia="en-US" w:bidi="ar-SA"/>
      </w:rPr>
    </w:lvl>
    <w:lvl w:ilvl="3" w:tplc="B57AB1D8">
      <w:numFmt w:val="bullet"/>
      <w:lvlText w:val="•"/>
      <w:lvlJc w:val="left"/>
      <w:pPr>
        <w:ind w:left="3091" w:hanging="250"/>
      </w:pPr>
      <w:rPr>
        <w:rFonts w:hint="default"/>
        <w:lang w:val="tr-TR" w:eastAsia="en-US" w:bidi="ar-SA"/>
      </w:rPr>
    </w:lvl>
    <w:lvl w:ilvl="4" w:tplc="1E60D0DE">
      <w:numFmt w:val="bullet"/>
      <w:lvlText w:val="•"/>
      <w:lvlJc w:val="left"/>
      <w:pPr>
        <w:ind w:left="4002" w:hanging="250"/>
      </w:pPr>
      <w:rPr>
        <w:rFonts w:hint="default"/>
        <w:lang w:val="tr-TR" w:eastAsia="en-US" w:bidi="ar-SA"/>
      </w:rPr>
    </w:lvl>
    <w:lvl w:ilvl="5" w:tplc="8F02D614">
      <w:numFmt w:val="bullet"/>
      <w:lvlText w:val="•"/>
      <w:lvlJc w:val="left"/>
      <w:pPr>
        <w:ind w:left="4912" w:hanging="250"/>
      </w:pPr>
      <w:rPr>
        <w:rFonts w:hint="default"/>
        <w:lang w:val="tr-TR" w:eastAsia="en-US" w:bidi="ar-SA"/>
      </w:rPr>
    </w:lvl>
    <w:lvl w:ilvl="6" w:tplc="4F4442B6">
      <w:numFmt w:val="bullet"/>
      <w:lvlText w:val="•"/>
      <w:lvlJc w:val="left"/>
      <w:pPr>
        <w:ind w:left="5823" w:hanging="250"/>
      </w:pPr>
      <w:rPr>
        <w:rFonts w:hint="default"/>
        <w:lang w:val="tr-TR" w:eastAsia="en-US" w:bidi="ar-SA"/>
      </w:rPr>
    </w:lvl>
    <w:lvl w:ilvl="7" w:tplc="AABEC706">
      <w:numFmt w:val="bullet"/>
      <w:lvlText w:val="•"/>
      <w:lvlJc w:val="left"/>
      <w:pPr>
        <w:ind w:left="6733" w:hanging="250"/>
      </w:pPr>
      <w:rPr>
        <w:rFonts w:hint="default"/>
        <w:lang w:val="tr-TR" w:eastAsia="en-US" w:bidi="ar-SA"/>
      </w:rPr>
    </w:lvl>
    <w:lvl w:ilvl="8" w:tplc="D5AA88A0">
      <w:numFmt w:val="bullet"/>
      <w:lvlText w:val="•"/>
      <w:lvlJc w:val="left"/>
      <w:pPr>
        <w:ind w:left="7644" w:hanging="250"/>
      </w:pPr>
      <w:rPr>
        <w:rFonts w:hint="default"/>
        <w:lang w:val="tr-TR" w:eastAsia="en-US" w:bidi="ar-SA"/>
      </w:rPr>
    </w:lvl>
  </w:abstractNum>
  <w:abstractNum w:abstractNumId="1" w15:restartNumberingAfterBreak="0">
    <w:nsid w:val="2B1E6936"/>
    <w:multiLevelType w:val="hybridMultilevel"/>
    <w:tmpl w:val="F4807C6C"/>
    <w:lvl w:ilvl="0" w:tplc="BFA6BA46">
      <w:start w:val="2"/>
      <w:numFmt w:val="decimal"/>
      <w:lvlText w:val="(%1)"/>
      <w:lvlJc w:val="left"/>
      <w:pPr>
        <w:ind w:left="113" w:hanging="360"/>
        <w:jc w:val="right"/>
      </w:pPr>
      <w:rPr>
        <w:rFonts w:ascii="Times New Roman" w:eastAsia="Times New Roman" w:hAnsi="Times New Roman" w:cs="Times New Roman" w:hint="default"/>
        <w:spacing w:val="0"/>
        <w:w w:val="100"/>
        <w:sz w:val="24"/>
        <w:szCs w:val="24"/>
        <w:lang w:val="tr-TR" w:eastAsia="en-US" w:bidi="ar-SA"/>
      </w:rPr>
    </w:lvl>
    <w:lvl w:ilvl="1" w:tplc="811A4216">
      <w:numFmt w:val="bullet"/>
      <w:lvlText w:val="•"/>
      <w:lvlJc w:val="left"/>
      <w:pPr>
        <w:ind w:left="1054" w:hanging="360"/>
      </w:pPr>
      <w:rPr>
        <w:rFonts w:hint="default"/>
        <w:lang w:val="tr-TR" w:eastAsia="en-US" w:bidi="ar-SA"/>
      </w:rPr>
    </w:lvl>
    <w:lvl w:ilvl="2" w:tplc="C85C18EE">
      <w:numFmt w:val="bullet"/>
      <w:lvlText w:val="•"/>
      <w:lvlJc w:val="left"/>
      <w:pPr>
        <w:ind w:left="1989" w:hanging="360"/>
      </w:pPr>
      <w:rPr>
        <w:rFonts w:hint="default"/>
        <w:lang w:val="tr-TR" w:eastAsia="en-US" w:bidi="ar-SA"/>
      </w:rPr>
    </w:lvl>
    <w:lvl w:ilvl="3" w:tplc="B6E4F292">
      <w:numFmt w:val="bullet"/>
      <w:lvlText w:val="•"/>
      <w:lvlJc w:val="left"/>
      <w:pPr>
        <w:ind w:left="2923" w:hanging="360"/>
      </w:pPr>
      <w:rPr>
        <w:rFonts w:hint="default"/>
        <w:lang w:val="tr-TR" w:eastAsia="en-US" w:bidi="ar-SA"/>
      </w:rPr>
    </w:lvl>
    <w:lvl w:ilvl="4" w:tplc="968CF764">
      <w:numFmt w:val="bullet"/>
      <w:lvlText w:val="•"/>
      <w:lvlJc w:val="left"/>
      <w:pPr>
        <w:ind w:left="3858" w:hanging="360"/>
      </w:pPr>
      <w:rPr>
        <w:rFonts w:hint="default"/>
        <w:lang w:val="tr-TR" w:eastAsia="en-US" w:bidi="ar-SA"/>
      </w:rPr>
    </w:lvl>
    <w:lvl w:ilvl="5" w:tplc="3DEE378A">
      <w:numFmt w:val="bullet"/>
      <w:lvlText w:val="•"/>
      <w:lvlJc w:val="left"/>
      <w:pPr>
        <w:ind w:left="4792" w:hanging="360"/>
      </w:pPr>
      <w:rPr>
        <w:rFonts w:hint="default"/>
        <w:lang w:val="tr-TR" w:eastAsia="en-US" w:bidi="ar-SA"/>
      </w:rPr>
    </w:lvl>
    <w:lvl w:ilvl="6" w:tplc="2FAADB7C">
      <w:numFmt w:val="bullet"/>
      <w:lvlText w:val="•"/>
      <w:lvlJc w:val="left"/>
      <w:pPr>
        <w:ind w:left="5727" w:hanging="360"/>
      </w:pPr>
      <w:rPr>
        <w:rFonts w:hint="default"/>
        <w:lang w:val="tr-TR" w:eastAsia="en-US" w:bidi="ar-SA"/>
      </w:rPr>
    </w:lvl>
    <w:lvl w:ilvl="7" w:tplc="D1FAFFF2">
      <w:numFmt w:val="bullet"/>
      <w:lvlText w:val="•"/>
      <w:lvlJc w:val="left"/>
      <w:pPr>
        <w:ind w:left="6661" w:hanging="360"/>
      </w:pPr>
      <w:rPr>
        <w:rFonts w:hint="default"/>
        <w:lang w:val="tr-TR" w:eastAsia="en-US" w:bidi="ar-SA"/>
      </w:rPr>
    </w:lvl>
    <w:lvl w:ilvl="8" w:tplc="869EDB7A">
      <w:numFmt w:val="bullet"/>
      <w:lvlText w:val="•"/>
      <w:lvlJc w:val="left"/>
      <w:pPr>
        <w:ind w:left="7596" w:hanging="360"/>
      </w:pPr>
      <w:rPr>
        <w:rFonts w:hint="default"/>
        <w:lang w:val="tr-TR" w:eastAsia="en-US" w:bidi="ar-SA"/>
      </w:rPr>
    </w:lvl>
  </w:abstractNum>
  <w:abstractNum w:abstractNumId="2" w15:restartNumberingAfterBreak="0">
    <w:nsid w:val="4B955703"/>
    <w:multiLevelType w:val="hybridMultilevel"/>
    <w:tmpl w:val="BBFC2E26"/>
    <w:lvl w:ilvl="0" w:tplc="C10468BA">
      <w:start w:val="2"/>
      <w:numFmt w:val="decimal"/>
      <w:lvlText w:val="(%1)"/>
      <w:lvlJc w:val="left"/>
      <w:pPr>
        <w:ind w:left="113" w:hanging="476"/>
      </w:pPr>
      <w:rPr>
        <w:rFonts w:ascii="Times New Roman" w:eastAsia="Times New Roman" w:hAnsi="Times New Roman" w:cs="Times New Roman" w:hint="default"/>
        <w:spacing w:val="-30"/>
        <w:w w:val="100"/>
        <w:sz w:val="24"/>
        <w:szCs w:val="24"/>
        <w:lang w:val="tr-TR" w:eastAsia="en-US" w:bidi="ar-SA"/>
      </w:rPr>
    </w:lvl>
    <w:lvl w:ilvl="1" w:tplc="2FE01764">
      <w:numFmt w:val="bullet"/>
      <w:lvlText w:val="•"/>
      <w:lvlJc w:val="left"/>
      <w:pPr>
        <w:ind w:left="1054" w:hanging="476"/>
      </w:pPr>
      <w:rPr>
        <w:rFonts w:hint="default"/>
        <w:lang w:val="tr-TR" w:eastAsia="en-US" w:bidi="ar-SA"/>
      </w:rPr>
    </w:lvl>
    <w:lvl w:ilvl="2" w:tplc="D5E8B35E">
      <w:numFmt w:val="bullet"/>
      <w:lvlText w:val="•"/>
      <w:lvlJc w:val="left"/>
      <w:pPr>
        <w:ind w:left="1989" w:hanging="476"/>
      </w:pPr>
      <w:rPr>
        <w:rFonts w:hint="default"/>
        <w:lang w:val="tr-TR" w:eastAsia="en-US" w:bidi="ar-SA"/>
      </w:rPr>
    </w:lvl>
    <w:lvl w:ilvl="3" w:tplc="9C201292">
      <w:numFmt w:val="bullet"/>
      <w:lvlText w:val="•"/>
      <w:lvlJc w:val="left"/>
      <w:pPr>
        <w:ind w:left="2923" w:hanging="476"/>
      </w:pPr>
      <w:rPr>
        <w:rFonts w:hint="default"/>
        <w:lang w:val="tr-TR" w:eastAsia="en-US" w:bidi="ar-SA"/>
      </w:rPr>
    </w:lvl>
    <w:lvl w:ilvl="4" w:tplc="B5147450">
      <w:numFmt w:val="bullet"/>
      <w:lvlText w:val="•"/>
      <w:lvlJc w:val="left"/>
      <w:pPr>
        <w:ind w:left="3858" w:hanging="476"/>
      </w:pPr>
      <w:rPr>
        <w:rFonts w:hint="default"/>
        <w:lang w:val="tr-TR" w:eastAsia="en-US" w:bidi="ar-SA"/>
      </w:rPr>
    </w:lvl>
    <w:lvl w:ilvl="5" w:tplc="93BC0AF8">
      <w:numFmt w:val="bullet"/>
      <w:lvlText w:val="•"/>
      <w:lvlJc w:val="left"/>
      <w:pPr>
        <w:ind w:left="4792" w:hanging="476"/>
      </w:pPr>
      <w:rPr>
        <w:rFonts w:hint="default"/>
        <w:lang w:val="tr-TR" w:eastAsia="en-US" w:bidi="ar-SA"/>
      </w:rPr>
    </w:lvl>
    <w:lvl w:ilvl="6" w:tplc="4E9C258E">
      <w:numFmt w:val="bullet"/>
      <w:lvlText w:val="•"/>
      <w:lvlJc w:val="left"/>
      <w:pPr>
        <w:ind w:left="5727" w:hanging="476"/>
      </w:pPr>
      <w:rPr>
        <w:rFonts w:hint="default"/>
        <w:lang w:val="tr-TR" w:eastAsia="en-US" w:bidi="ar-SA"/>
      </w:rPr>
    </w:lvl>
    <w:lvl w:ilvl="7" w:tplc="1EA88C3C">
      <w:numFmt w:val="bullet"/>
      <w:lvlText w:val="•"/>
      <w:lvlJc w:val="left"/>
      <w:pPr>
        <w:ind w:left="6661" w:hanging="476"/>
      </w:pPr>
      <w:rPr>
        <w:rFonts w:hint="default"/>
        <w:lang w:val="tr-TR" w:eastAsia="en-US" w:bidi="ar-SA"/>
      </w:rPr>
    </w:lvl>
    <w:lvl w:ilvl="8" w:tplc="825C8D14">
      <w:numFmt w:val="bullet"/>
      <w:lvlText w:val="•"/>
      <w:lvlJc w:val="left"/>
      <w:pPr>
        <w:ind w:left="7596" w:hanging="476"/>
      </w:pPr>
      <w:rPr>
        <w:rFonts w:hint="default"/>
        <w:lang w:val="tr-TR" w:eastAsia="en-US" w:bidi="ar-SA"/>
      </w:rPr>
    </w:lvl>
  </w:abstractNum>
  <w:abstractNum w:abstractNumId="3" w15:restartNumberingAfterBreak="0">
    <w:nsid w:val="5AB21B18"/>
    <w:multiLevelType w:val="hybridMultilevel"/>
    <w:tmpl w:val="329E6168"/>
    <w:lvl w:ilvl="0" w:tplc="543E32E0">
      <w:start w:val="2"/>
      <w:numFmt w:val="decimal"/>
      <w:lvlText w:val="(%1)"/>
      <w:lvlJc w:val="left"/>
      <w:pPr>
        <w:ind w:left="113" w:hanging="356"/>
      </w:pPr>
      <w:rPr>
        <w:rFonts w:ascii="Times New Roman" w:eastAsia="Times New Roman" w:hAnsi="Times New Roman" w:cs="Times New Roman" w:hint="default"/>
        <w:spacing w:val="0"/>
        <w:w w:val="100"/>
        <w:sz w:val="24"/>
        <w:szCs w:val="24"/>
        <w:lang w:val="tr-TR" w:eastAsia="en-US" w:bidi="ar-SA"/>
      </w:rPr>
    </w:lvl>
    <w:lvl w:ilvl="1" w:tplc="212A9348">
      <w:numFmt w:val="bullet"/>
      <w:lvlText w:val="•"/>
      <w:lvlJc w:val="left"/>
      <w:pPr>
        <w:ind w:left="1054" w:hanging="356"/>
      </w:pPr>
      <w:rPr>
        <w:rFonts w:hint="default"/>
        <w:lang w:val="tr-TR" w:eastAsia="en-US" w:bidi="ar-SA"/>
      </w:rPr>
    </w:lvl>
    <w:lvl w:ilvl="2" w:tplc="D3F03A22">
      <w:numFmt w:val="bullet"/>
      <w:lvlText w:val="•"/>
      <w:lvlJc w:val="left"/>
      <w:pPr>
        <w:ind w:left="1989" w:hanging="356"/>
      </w:pPr>
      <w:rPr>
        <w:rFonts w:hint="default"/>
        <w:lang w:val="tr-TR" w:eastAsia="en-US" w:bidi="ar-SA"/>
      </w:rPr>
    </w:lvl>
    <w:lvl w:ilvl="3" w:tplc="86E2FF72">
      <w:numFmt w:val="bullet"/>
      <w:lvlText w:val="•"/>
      <w:lvlJc w:val="left"/>
      <w:pPr>
        <w:ind w:left="2923" w:hanging="356"/>
      </w:pPr>
      <w:rPr>
        <w:rFonts w:hint="default"/>
        <w:lang w:val="tr-TR" w:eastAsia="en-US" w:bidi="ar-SA"/>
      </w:rPr>
    </w:lvl>
    <w:lvl w:ilvl="4" w:tplc="53544B48">
      <w:numFmt w:val="bullet"/>
      <w:lvlText w:val="•"/>
      <w:lvlJc w:val="left"/>
      <w:pPr>
        <w:ind w:left="3858" w:hanging="356"/>
      </w:pPr>
      <w:rPr>
        <w:rFonts w:hint="default"/>
        <w:lang w:val="tr-TR" w:eastAsia="en-US" w:bidi="ar-SA"/>
      </w:rPr>
    </w:lvl>
    <w:lvl w:ilvl="5" w:tplc="5DC01422">
      <w:numFmt w:val="bullet"/>
      <w:lvlText w:val="•"/>
      <w:lvlJc w:val="left"/>
      <w:pPr>
        <w:ind w:left="4792" w:hanging="356"/>
      </w:pPr>
      <w:rPr>
        <w:rFonts w:hint="default"/>
        <w:lang w:val="tr-TR" w:eastAsia="en-US" w:bidi="ar-SA"/>
      </w:rPr>
    </w:lvl>
    <w:lvl w:ilvl="6" w:tplc="B0BA419C">
      <w:numFmt w:val="bullet"/>
      <w:lvlText w:val="•"/>
      <w:lvlJc w:val="left"/>
      <w:pPr>
        <w:ind w:left="5727" w:hanging="356"/>
      </w:pPr>
      <w:rPr>
        <w:rFonts w:hint="default"/>
        <w:lang w:val="tr-TR" w:eastAsia="en-US" w:bidi="ar-SA"/>
      </w:rPr>
    </w:lvl>
    <w:lvl w:ilvl="7" w:tplc="7966D104">
      <w:numFmt w:val="bullet"/>
      <w:lvlText w:val="•"/>
      <w:lvlJc w:val="left"/>
      <w:pPr>
        <w:ind w:left="6661" w:hanging="356"/>
      </w:pPr>
      <w:rPr>
        <w:rFonts w:hint="default"/>
        <w:lang w:val="tr-TR" w:eastAsia="en-US" w:bidi="ar-SA"/>
      </w:rPr>
    </w:lvl>
    <w:lvl w:ilvl="8" w:tplc="0F4E7210">
      <w:numFmt w:val="bullet"/>
      <w:lvlText w:val="•"/>
      <w:lvlJc w:val="left"/>
      <w:pPr>
        <w:ind w:left="7596" w:hanging="356"/>
      </w:pPr>
      <w:rPr>
        <w:rFonts w:hint="default"/>
        <w:lang w:val="tr-TR" w:eastAsia="en-US" w:bidi="ar-SA"/>
      </w:rPr>
    </w:lvl>
  </w:abstractNum>
  <w:abstractNum w:abstractNumId="4" w15:restartNumberingAfterBreak="0">
    <w:nsid w:val="644A31C1"/>
    <w:multiLevelType w:val="hybridMultilevel"/>
    <w:tmpl w:val="EF0E9994"/>
    <w:lvl w:ilvl="0" w:tplc="3B56D1CA">
      <w:start w:val="1"/>
      <w:numFmt w:val="lowerLetter"/>
      <w:lvlText w:val="%1)"/>
      <w:lvlJc w:val="left"/>
      <w:pPr>
        <w:ind w:left="113" w:hanging="284"/>
      </w:pPr>
      <w:rPr>
        <w:rFonts w:ascii="Times New Roman" w:eastAsia="Times New Roman" w:hAnsi="Times New Roman" w:cs="Times New Roman" w:hint="default"/>
        <w:spacing w:val="-30"/>
        <w:w w:val="100"/>
        <w:sz w:val="24"/>
        <w:szCs w:val="24"/>
        <w:lang w:val="tr-TR" w:eastAsia="en-US" w:bidi="ar-SA"/>
      </w:rPr>
    </w:lvl>
    <w:lvl w:ilvl="1" w:tplc="C3F63EB4">
      <w:numFmt w:val="bullet"/>
      <w:lvlText w:val="•"/>
      <w:lvlJc w:val="left"/>
      <w:pPr>
        <w:ind w:left="1054" w:hanging="284"/>
      </w:pPr>
      <w:rPr>
        <w:rFonts w:hint="default"/>
        <w:lang w:val="tr-TR" w:eastAsia="en-US" w:bidi="ar-SA"/>
      </w:rPr>
    </w:lvl>
    <w:lvl w:ilvl="2" w:tplc="F1FE689C">
      <w:numFmt w:val="bullet"/>
      <w:lvlText w:val="•"/>
      <w:lvlJc w:val="left"/>
      <w:pPr>
        <w:ind w:left="1989" w:hanging="284"/>
      </w:pPr>
      <w:rPr>
        <w:rFonts w:hint="default"/>
        <w:lang w:val="tr-TR" w:eastAsia="en-US" w:bidi="ar-SA"/>
      </w:rPr>
    </w:lvl>
    <w:lvl w:ilvl="3" w:tplc="907C4D98">
      <w:numFmt w:val="bullet"/>
      <w:lvlText w:val="•"/>
      <w:lvlJc w:val="left"/>
      <w:pPr>
        <w:ind w:left="2923" w:hanging="284"/>
      </w:pPr>
      <w:rPr>
        <w:rFonts w:hint="default"/>
        <w:lang w:val="tr-TR" w:eastAsia="en-US" w:bidi="ar-SA"/>
      </w:rPr>
    </w:lvl>
    <w:lvl w:ilvl="4" w:tplc="40B84746">
      <w:numFmt w:val="bullet"/>
      <w:lvlText w:val="•"/>
      <w:lvlJc w:val="left"/>
      <w:pPr>
        <w:ind w:left="3858" w:hanging="284"/>
      </w:pPr>
      <w:rPr>
        <w:rFonts w:hint="default"/>
        <w:lang w:val="tr-TR" w:eastAsia="en-US" w:bidi="ar-SA"/>
      </w:rPr>
    </w:lvl>
    <w:lvl w:ilvl="5" w:tplc="961A0A16">
      <w:numFmt w:val="bullet"/>
      <w:lvlText w:val="•"/>
      <w:lvlJc w:val="left"/>
      <w:pPr>
        <w:ind w:left="4792" w:hanging="284"/>
      </w:pPr>
      <w:rPr>
        <w:rFonts w:hint="default"/>
        <w:lang w:val="tr-TR" w:eastAsia="en-US" w:bidi="ar-SA"/>
      </w:rPr>
    </w:lvl>
    <w:lvl w:ilvl="6" w:tplc="3788AC70">
      <w:numFmt w:val="bullet"/>
      <w:lvlText w:val="•"/>
      <w:lvlJc w:val="left"/>
      <w:pPr>
        <w:ind w:left="5727" w:hanging="284"/>
      </w:pPr>
      <w:rPr>
        <w:rFonts w:hint="default"/>
        <w:lang w:val="tr-TR" w:eastAsia="en-US" w:bidi="ar-SA"/>
      </w:rPr>
    </w:lvl>
    <w:lvl w:ilvl="7" w:tplc="C7BE5484">
      <w:numFmt w:val="bullet"/>
      <w:lvlText w:val="•"/>
      <w:lvlJc w:val="left"/>
      <w:pPr>
        <w:ind w:left="6661" w:hanging="284"/>
      </w:pPr>
      <w:rPr>
        <w:rFonts w:hint="default"/>
        <w:lang w:val="tr-TR" w:eastAsia="en-US" w:bidi="ar-SA"/>
      </w:rPr>
    </w:lvl>
    <w:lvl w:ilvl="8" w:tplc="AA5E8652">
      <w:numFmt w:val="bullet"/>
      <w:lvlText w:val="•"/>
      <w:lvlJc w:val="left"/>
      <w:pPr>
        <w:ind w:left="7596" w:hanging="284"/>
      </w:pPr>
      <w:rPr>
        <w:rFonts w:hint="default"/>
        <w:lang w:val="tr-TR" w:eastAsia="en-US" w:bidi="ar-SA"/>
      </w:rPr>
    </w:lvl>
  </w:abstractNum>
  <w:abstractNum w:abstractNumId="5" w15:restartNumberingAfterBreak="0">
    <w:nsid w:val="672F4653"/>
    <w:multiLevelType w:val="hybridMultilevel"/>
    <w:tmpl w:val="44A03564"/>
    <w:lvl w:ilvl="0" w:tplc="CC9648A0">
      <w:start w:val="1"/>
      <w:numFmt w:val="lowerLetter"/>
      <w:lvlText w:val="%1)"/>
      <w:lvlJc w:val="left"/>
      <w:pPr>
        <w:ind w:left="113" w:hanging="384"/>
      </w:pPr>
      <w:rPr>
        <w:rFonts w:ascii="Times New Roman" w:eastAsia="Times New Roman" w:hAnsi="Times New Roman" w:cs="Times New Roman" w:hint="default"/>
        <w:b/>
        <w:bCs/>
        <w:spacing w:val="-19"/>
        <w:w w:val="100"/>
        <w:sz w:val="24"/>
        <w:szCs w:val="24"/>
        <w:lang w:val="tr-TR" w:eastAsia="en-US" w:bidi="ar-SA"/>
      </w:rPr>
    </w:lvl>
    <w:lvl w:ilvl="1" w:tplc="B9326836">
      <w:numFmt w:val="bullet"/>
      <w:lvlText w:val="•"/>
      <w:lvlJc w:val="left"/>
      <w:pPr>
        <w:ind w:left="1054" w:hanging="384"/>
      </w:pPr>
      <w:rPr>
        <w:rFonts w:hint="default"/>
        <w:lang w:val="tr-TR" w:eastAsia="en-US" w:bidi="ar-SA"/>
      </w:rPr>
    </w:lvl>
    <w:lvl w:ilvl="2" w:tplc="5ED81268">
      <w:numFmt w:val="bullet"/>
      <w:lvlText w:val="•"/>
      <w:lvlJc w:val="left"/>
      <w:pPr>
        <w:ind w:left="1989" w:hanging="384"/>
      </w:pPr>
      <w:rPr>
        <w:rFonts w:hint="default"/>
        <w:lang w:val="tr-TR" w:eastAsia="en-US" w:bidi="ar-SA"/>
      </w:rPr>
    </w:lvl>
    <w:lvl w:ilvl="3" w:tplc="6E7C2656">
      <w:numFmt w:val="bullet"/>
      <w:lvlText w:val="•"/>
      <w:lvlJc w:val="left"/>
      <w:pPr>
        <w:ind w:left="2923" w:hanging="384"/>
      </w:pPr>
      <w:rPr>
        <w:rFonts w:hint="default"/>
        <w:lang w:val="tr-TR" w:eastAsia="en-US" w:bidi="ar-SA"/>
      </w:rPr>
    </w:lvl>
    <w:lvl w:ilvl="4" w:tplc="2E7C97DE">
      <w:numFmt w:val="bullet"/>
      <w:lvlText w:val="•"/>
      <w:lvlJc w:val="left"/>
      <w:pPr>
        <w:ind w:left="3858" w:hanging="384"/>
      </w:pPr>
      <w:rPr>
        <w:rFonts w:hint="default"/>
        <w:lang w:val="tr-TR" w:eastAsia="en-US" w:bidi="ar-SA"/>
      </w:rPr>
    </w:lvl>
    <w:lvl w:ilvl="5" w:tplc="8A8E07AE">
      <w:numFmt w:val="bullet"/>
      <w:lvlText w:val="•"/>
      <w:lvlJc w:val="left"/>
      <w:pPr>
        <w:ind w:left="4792" w:hanging="384"/>
      </w:pPr>
      <w:rPr>
        <w:rFonts w:hint="default"/>
        <w:lang w:val="tr-TR" w:eastAsia="en-US" w:bidi="ar-SA"/>
      </w:rPr>
    </w:lvl>
    <w:lvl w:ilvl="6" w:tplc="FC481B56">
      <w:numFmt w:val="bullet"/>
      <w:lvlText w:val="•"/>
      <w:lvlJc w:val="left"/>
      <w:pPr>
        <w:ind w:left="5727" w:hanging="384"/>
      </w:pPr>
      <w:rPr>
        <w:rFonts w:hint="default"/>
        <w:lang w:val="tr-TR" w:eastAsia="en-US" w:bidi="ar-SA"/>
      </w:rPr>
    </w:lvl>
    <w:lvl w:ilvl="7" w:tplc="F7DAE9E0">
      <w:numFmt w:val="bullet"/>
      <w:lvlText w:val="•"/>
      <w:lvlJc w:val="left"/>
      <w:pPr>
        <w:ind w:left="6661" w:hanging="384"/>
      </w:pPr>
      <w:rPr>
        <w:rFonts w:hint="default"/>
        <w:lang w:val="tr-TR" w:eastAsia="en-US" w:bidi="ar-SA"/>
      </w:rPr>
    </w:lvl>
    <w:lvl w:ilvl="8" w:tplc="CDAA95B0">
      <w:numFmt w:val="bullet"/>
      <w:lvlText w:val="•"/>
      <w:lvlJc w:val="left"/>
      <w:pPr>
        <w:ind w:left="7596" w:hanging="384"/>
      </w:pPr>
      <w:rPr>
        <w:rFonts w:hint="default"/>
        <w:lang w:val="tr-TR" w:eastAsia="en-US" w:bidi="ar-SA"/>
      </w:rPr>
    </w:lvl>
  </w:abstractNum>
  <w:num w:numId="1">
    <w:abstractNumId w:val="5"/>
  </w:num>
  <w:num w:numId="2">
    <w:abstractNumId w:val="3"/>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4B"/>
    <w:rsid w:val="00004F1A"/>
    <w:rsid w:val="00074521"/>
    <w:rsid w:val="0026734C"/>
    <w:rsid w:val="002B1096"/>
    <w:rsid w:val="00480B67"/>
    <w:rsid w:val="004836DE"/>
    <w:rsid w:val="00486488"/>
    <w:rsid w:val="004A0DCB"/>
    <w:rsid w:val="00513BB7"/>
    <w:rsid w:val="0058194B"/>
    <w:rsid w:val="0059443F"/>
    <w:rsid w:val="005D1A9E"/>
    <w:rsid w:val="00622C09"/>
    <w:rsid w:val="00640758"/>
    <w:rsid w:val="006E3367"/>
    <w:rsid w:val="006E3583"/>
    <w:rsid w:val="00745F34"/>
    <w:rsid w:val="00872A53"/>
    <w:rsid w:val="00891DB9"/>
    <w:rsid w:val="009B27E1"/>
    <w:rsid w:val="009E3399"/>
    <w:rsid w:val="00A261CA"/>
    <w:rsid w:val="00A877DF"/>
    <w:rsid w:val="00B333E5"/>
    <w:rsid w:val="00C70485"/>
    <w:rsid w:val="00C85C3F"/>
    <w:rsid w:val="00C97F72"/>
    <w:rsid w:val="00D23B7A"/>
    <w:rsid w:val="00DC3530"/>
    <w:rsid w:val="00E54807"/>
    <w:rsid w:val="00EF161D"/>
    <w:rsid w:val="00FA36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D4B05"/>
  <w15:chartTrackingRefBased/>
  <w15:docId w15:val="{62B49042-C40B-48BD-B6FB-0CF0EF455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6734C"/>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26734C"/>
    <w:pPr>
      <w:ind w:left="113"/>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26734C"/>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26734C"/>
    <w:rPr>
      <w:sz w:val="24"/>
      <w:szCs w:val="24"/>
    </w:rPr>
  </w:style>
  <w:style w:type="character" w:customStyle="1" w:styleId="GvdeMetniChar">
    <w:name w:val="Gövde Metni Char"/>
    <w:basedOn w:val="VarsaylanParagrafYazTipi"/>
    <w:link w:val="GvdeMetni"/>
    <w:uiPriority w:val="1"/>
    <w:rsid w:val="0026734C"/>
    <w:rPr>
      <w:rFonts w:ascii="Times New Roman" w:eastAsia="Times New Roman" w:hAnsi="Times New Roman" w:cs="Times New Roman"/>
      <w:sz w:val="24"/>
      <w:szCs w:val="24"/>
    </w:rPr>
  </w:style>
  <w:style w:type="paragraph" w:styleId="ListeParagraf">
    <w:name w:val="List Paragraph"/>
    <w:basedOn w:val="Normal"/>
    <w:uiPriority w:val="1"/>
    <w:qFormat/>
    <w:rsid w:val="00872A53"/>
    <w:pPr>
      <w:ind w:left="113" w:right="283"/>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2836</Words>
  <Characters>16171</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18970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YİĞİT</dc:creator>
  <cp:keywords/>
  <dc:description/>
  <cp:lastModifiedBy>Deniz YİĞİT</cp:lastModifiedBy>
  <cp:revision>144</cp:revision>
  <dcterms:created xsi:type="dcterms:W3CDTF">2020-07-20T08:04:00Z</dcterms:created>
  <dcterms:modified xsi:type="dcterms:W3CDTF">2020-07-27T10:26:00Z</dcterms:modified>
</cp:coreProperties>
</file>